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44A3" w14:textId="520FE45A" w:rsidR="002863AC" w:rsidRPr="00C23647" w:rsidRDefault="002863AC" w:rsidP="001D4222">
      <w:pPr>
        <w:jc w:val="center"/>
        <w:rPr>
          <w:rFonts w:cstheme="minorHAnsi"/>
          <w:color w:val="212721"/>
        </w:rPr>
      </w:pPr>
      <w:r w:rsidRPr="00C23647">
        <w:rPr>
          <w:rFonts w:cstheme="minorHAnsi"/>
          <w:color w:val="212721"/>
        </w:rPr>
        <w:t>The information contained within this announcement was previously deemed by the Company to constitute inside information as stipulated by Market Abuse Regulation (EU) No 596/2014</w:t>
      </w:r>
      <w:r w:rsidR="000054B9" w:rsidRPr="00C23647">
        <w:rPr>
          <w:rFonts w:cstheme="minorHAnsi"/>
          <w:color w:val="212721"/>
        </w:rPr>
        <w:t xml:space="preserve"> ("EU MAR") and the retained UK law version of EU MAR pursuant to the Market Abuse (Amendment) (EU Exit) Regulations 2019 (SI 2019/310) ("UK MAR")</w:t>
      </w:r>
      <w:r w:rsidRPr="00C23647">
        <w:rPr>
          <w:rFonts w:cstheme="minorHAnsi"/>
          <w:color w:val="212721"/>
        </w:rPr>
        <w:t>. With the publication of this announcement via a Regulatory Information Service, this information is now considered to be in the public domain</w:t>
      </w:r>
    </w:p>
    <w:p w14:paraId="4464DC90" w14:textId="77777777" w:rsidR="00C23647" w:rsidRPr="00C23647" w:rsidRDefault="00C23647" w:rsidP="001D4222">
      <w:pPr>
        <w:jc w:val="center"/>
        <w:rPr>
          <w:rFonts w:cstheme="minorHAnsi"/>
          <w:color w:val="212721"/>
        </w:rPr>
      </w:pPr>
    </w:p>
    <w:p w14:paraId="73CAD355" w14:textId="2AE50D3B" w:rsidR="001D4222" w:rsidRPr="00C23647" w:rsidRDefault="00A421FA" w:rsidP="001D4222">
      <w:pPr>
        <w:jc w:val="center"/>
        <w:rPr>
          <w:rFonts w:cstheme="minorHAnsi"/>
          <w:lang w:val="en-IE"/>
        </w:rPr>
      </w:pPr>
      <w:r>
        <w:rPr>
          <w:rFonts w:cstheme="minorHAnsi"/>
          <w:color w:val="212721"/>
        </w:rPr>
        <w:t>Roebuck Food Group</w:t>
      </w:r>
      <w:r w:rsidR="001D4222" w:rsidRPr="00C23647">
        <w:rPr>
          <w:rFonts w:cstheme="minorHAnsi"/>
          <w:color w:val="212721"/>
        </w:rPr>
        <w:t xml:space="preserve"> plc ("</w:t>
      </w:r>
      <w:r>
        <w:rPr>
          <w:rFonts w:cstheme="minorHAnsi"/>
          <w:color w:val="212721"/>
        </w:rPr>
        <w:t>Roebuck</w:t>
      </w:r>
      <w:r w:rsidR="001D4222" w:rsidRPr="00C23647">
        <w:rPr>
          <w:rFonts w:cstheme="minorHAnsi"/>
          <w:color w:val="212721"/>
        </w:rPr>
        <w:t>" or the "Company")</w:t>
      </w:r>
    </w:p>
    <w:p w14:paraId="44D3F280" w14:textId="6F55A3F0" w:rsidR="003260ED" w:rsidRDefault="00A421FA" w:rsidP="001D4222">
      <w:pPr>
        <w:jc w:val="center"/>
        <w:rPr>
          <w:rFonts w:cstheme="minorHAnsi"/>
          <w:lang w:val="en-IE"/>
        </w:rPr>
      </w:pPr>
      <w:r>
        <w:rPr>
          <w:rFonts w:cstheme="minorHAnsi"/>
          <w:lang w:val="en-IE"/>
        </w:rPr>
        <w:t>Settlement of Completion Accounts</w:t>
      </w:r>
      <w:r w:rsidR="00970F1B">
        <w:rPr>
          <w:rFonts w:cstheme="minorHAnsi"/>
          <w:lang w:val="en-IE"/>
        </w:rPr>
        <w:t xml:space="preserve"> on Cold Store Disposal</w:t>
      </w:r>
    </w:p>
    <w:p w14:paraId="7F5F99D6" w14:textId="1A1E9956" w:rsidR="00A421FA" w:rsidRPr="00C23647" w:rsidRDefault="00A421FA" w:rsidP="001D4222">
      <w:pPr>
        <w:jc w:val="center"/>
        <w:rPr>
          <w:rFonts w:cstheme="minorHAnsi"/>
          <w:lang w:val="en-IE"/>
        </w:rPr>
      </w:pPr>
      <w:r>
        <w:rPr>
          <w:rFonts w:cstheme="minorHAnsi"/>
          <w:lang w:val="en-IE"/>
        </w:rPr>
        <w:t>Change in Director Responsibilities</w:t>
      </w:r>
    </w:p>
    <w:p w14:paraId="6C6E6577" w14:textId="02A99610" w:rsidR="00C23647" w:rsidRPr="00C23647" w:rsidRDefault="00C23647" w:rsidP="00C23647">
      <w:pPr>
        <w:rPr>
          <w:rFonts w:cstheme="minorHAnsi"/>
        </w:rPr>
      </w:pPr>
      <w:r w:rsidRPr="00C23647">
        <w:rPr>
          <w:rFonts w:cstheme="minorHAnsi"/>
          <w:lang w:val="en-IE"/>
        </w:rPr>
        <w:t xml:space="preserve">RNS Number: </w:t>
      </w:r>
      <w:bookmarkStart w:id="0" w:name="_Hlk94893027"/>
      <w:r w:rsidRPr="00C23647">
        <w:rPr>
          <w:rFonts w:cstheme="minorHAnsi"/>
        </w:rPr>
        <w:t>●</w:t>
      </w:r>
      <w:bookmarkEnd w:id="0"/>
    </w:p>
    <w:p w14:paraId="3EEEA4DA" w14:textId="73F7C722" w:rsidR="00C23647" w:rsidRPr="00C23647" w:rsidRDefault="00D57D30" w:rsidP="00C23647">
      <w:pPr>
        <w:rPr>
          <w:rFonts w:cstheme="minorHAnsi"/>
          <w:lang w:val="en-IE"/>
        </w:rPr>
      </w:pPr>
      <w:r>
        <w:rPr>
          <w:rFonts w:cstheme="minorHAnsi"/>
        </w:rPr>
        <w:t>18</w:t>
      </w:r>
      <w:r w:rsidR="00A421FA">
        <w:rPr>
          <w:rFonts w:cstheme="minorHAnsi"/>
        </w:rPr>
        <w:t xml:space="preserve"> February </w:t>
      </w:r>
      <w:r w:rsidR="00C23647" w:rsidRPr="00C23647">
        <w:rPr>
          <w:rFonts w:cstheme="minorHAnsi"/>
        </w:rPr>
        <w:t>202</w:t>
      </w:r>
      <w:r w:rsidR="00A421FA">
        <w:rPr>
          <w:rFonts w:cstheme="minorHAnsi"/>
        </w:rPr>
        <w:t>2</w:t>
      </w:r>
    </w:p>
    <w:p w14:paraId="1538C1E7" w14:textId="655796A1" w:rsidR="00CD6AB5" w:rsidRDefault="00A421FA" w:rsidP="00A421FA">
      <w:pPr>
        <w:jc w:val="both"/>
        <w:rPr>
          <w:rFonts w:cstheme="minorHAnsi"/>
        </w:rPr>
      </w:pPr>
      <w:r>
        <w:rPr>
          <w:rFonts w:cstheme="minorHAnsi"/>
        </w:rPr>
        <w:t xml:space="preserve">On 30 September 2021, Roebuck Food Group </w:t>
      </w:r>
      <w:r w:rsidR="001D4222" w:rsidRPr="00C23647">
        <w:rPr>
          <w:rFonts w:cstheme="minorHAnsi"/>
        </w:rPr>
        <w:t xml:space="preserve">plc </w:t>
      </w:r>
      <w:r>
        <w:rPr>
          <w:rFonts w:cstheme="minorHAnsi"/>
        </w:rPr>
        <w:t xml:space="preserve">(then named Norish plc) announced the </w:t>
      </w:r>
      <w:r w:rsidR="001D4222" w:rsidRPr="00C23647">
        <w:rPr>
          <w:rFonts w:cstheme="minorHAnsi"/>
        </w:rPr>
        <w:t xml:space="preserve">conditional </w:t>
      </w:r>
      <w:r w:rsidR="00EA6882" w:rsidRPr="00C23647">
        <w:rPr>
          <w:rFonts w:cstheme="minorHAnsi"/>
        </w:rPr>
        <w:t>agreement for the sale</w:t>
      </w:r>
      <w:r w:rsidR="001D4222" w:rsidRPr="00C23647">
        <w:rPr>
          <w:rFonts w:cstheme="minorHAnsi"/>
        </w:rPr>
        <w:t xml:space="preserve"> of its cold </w:t>
      </w:r>
      <w:r w:rsidR="00EA6882" w:rsidRPr="00C23647">
        <w:rPr>
          <w:rFonts w:cstheme="minorHAnsi"/>
        </w:rPr>
        <w:t xml:space="preserve">storage </w:t>
      </w:r>
      <w:r w:rsidR="001D4222" w:rsidRPr="00C23647">
        <w:rPr>
          <w:rFonts w:cstheme="minorHAnsi"/>
        </w:rPr>
        <w:t xml:space="preserve">division to </w:t>
      </w:r>
      <w:r w:rsidR="0018673B" w:rsidRPr="00C23647">
        <w:rPr>
          <w:rFonts w:cstheme="minorHAnsi"/>
          <w:snapToGrid w:val="0"/>
          <w:lang w:val="en-IE"/>
        </w:rPr>
        <w:t>Nichirei Holding Holland B.V</w:t>
      </w:r>
      <w:r w:rsidR="005F3030">
        <w:rPr>
          <w:rFonts w:cstheme="minorHAnsi"/>
          <w:snapToGrid w:val="0"/>
        </w:rPr>
        <w:t>. (“the Purchaser”)</w:t>
      </w:r>
      <w:r w:rsidR="00970F1B">
        <w:rPr>
          <w:rFonts w:cstheme="minorHAnsi"/>
          <w:snapToGrid w:val="0"/>
        </w:rPr>
        <w:t xml:space="preserve">, </w:t>
      </w:r>
      <w:r w:rsidR="0018673B" w:rsidRPr="00C23647">
        <w:rPr>
          <w:rFonts w:cstheme="minorHAnsi"/>
          <w:snapToGrid w:val="0"/>
        </w:rPr>
        <w:t>a wholly</w:t>
      </w:r>
      <w:r w:rsidR="00970F1B">
        <w:rPr>
          <w:rFonts w:cstheme="minorHAnsi"/>
          <w:snapToGrid w:val="0"/>
        </w:rPr>
        <w:t>-</w:t>
      </w:r>
      <w:r w:rsidR="0018673B" w:rsidRPr="00C23647">
        <w:rPr>
          <w:rFonts w:cstheme="minorHAnsi"/>
          <w:snapToGrid w:val="0"/>
        </w:rPr>
        <w:t xml:space="preserve">owned subsidiary of Nichirei Logistics Group </w:t>
      </w:r>
      <w:r w:rsidR="00C23647" w:rsidRPr="00C23647">
        <w:rPr>
          <w:rFonts w:cstheme="minorHAnsi"/>
          <w:snapToGrid w:val="0"/>
        </w:rPr>
        <w:t>Inc.</w:t>
      </w:r>
      <w:r w:rsidR="0018673B" w:rsidRPr="00C23647">
        <w:rPr>
          <w:rFonts w:cstheme="minorHAnsi"/>
          <w:snapToGrid w:val="0"/>
        </w:rPr>
        <w:t xml:space="preserve"> </w:t>
      </w:r>
      <w:r w:rsidR="007D64D8">
        <w:rPr>
          <w:rFonts w:cstheme="minorHAnsi"/>
          <w:snapToGrid w:val="0"/>
        </w:rPr>
        <w:t xml:space="preserve">for a consideration </w:t>
      </w:r>
      <w:r w:rsidR="00CD6AB5">
        <w:rPr>
          <w:rFonts w:cstheme="minorHAnsi"/>
          <w:snapToGrid w:val="0"/>
        </w:rPr>
        <w:t xml:space="preserve">of </w:t>
      </w:r>
      <w:r w:rsidR="005D70B2" w:rsidRPr="00C23647">
        <w:rPr>
          <w:rFonts w:cstheme="minorHAnsi"/>
          <w:snapToGrid w:val="0"/>
        </w:rPr>
        <w:t>£65.7</w:t>
      </w:r>
      <w:r w:rsidR="00CD6AB5">
        <w:rPr>
          <w:rFonts w:cstheme="minorHAnsi"/>
          <w:snapToGrid w:val="0"/>
        </w:rPr>
        <w:t>06</w:t>
      </w:r>
      <w:r w:rsidR="005D70B2" w:rsidRPr="00C23647">
        <w:rPr>
          <w:rFonts w:cstheme="minorHAnsi"/>
          <w:snapToGrid w:val="0"/>
        </w:rPr>
        <w:t xml:space="preserve"> million</w:t>
      </w:r>
      <w:r w:rsidR="005D70B2" w:rsidRPr="00C23647">
        <w:rPr>
          <w:rFonts w:cstheme="minorHAnsi"/>
        </w:rPr>
        <w:t xml:space="preserve"> </w:t>
      </w:r>
      <w:r w:rsidR="0018673B" w:rsidRPr="00C23647">
        <w:rPr>
          <w:rFonts w:cstheme="minorHAnsi"/>
        </w:rPr>
        <w:t>(“the Disposal”)</w:t>
      </w:r>
      <w:r w:rsidR="00E93D05">
        <w:rPr>
          <w:rFonts w:cstheme="minorHAnsi"/>
        </w:rPr>
        <w:t xml:space="preserve">. </w:t>
      </w:r>
      <w:r w:rsidR="00792CAC">
        <w:rPr>
          <w:rFonts w:cstheme="minorHAnsi"/>
        </w:rPr>
        <w:t xml:space="preserve">Following the </w:t>
      </w:r>
      <w:r w:rsidR="00CD6AB5">
        <w:rPr>
          <w:rFonts w:cstheme="minorHAnsi"/>
        </w:rPr>
        <w:t xml:space="preserve">settlement of indebtedness </w:t>
      </w:r>
      <w:r w:rsidR="00E41819">
        <w:rPr>
          <w:rFonts w:cstheme="minorHAnsi"/>
        </w:rPr>
        <w:t xml:space="preserve">and the operation of </w:t>
      </w:r>
      <w:r w:rsidR="007B0571">
        <w:rPr>
          <w:rFonts w:cstheme="minorHAnsi"/>
        </w:rPr>
        <w:t xml:space="preserve">a completion accounts mechanism in the </w:t>
      </w:r>
      <w:r w:rsidR="00DC6E8D">
        <w:rPr>
          <w:rFonts w:cstheme="minorHAnsi"/>
        </w:rPr>
        <w:t>Sale and Purchase Agreement</w:t>
      </w:r>
      <w:r w:rsidR="00792CAC">
        <w:rPr>
          <w:rFonts w:cstheme="minorHAnsi"/>
        </w:rPr>
        <w:t xml:space="preserve">, </w:t>
      </w:r>
      <w:r>
        <w:rPr>
          <w:rFonts w:cstheme="minorHAnsi"/>
        </w:rPr>
        <w:t xml:space="preserve">it was then anticipated that it would </w:t>
      </w:r>
      <w:r w:rsidR="00792CAC">
        <w:rPr>
          <w:rFonts w:cstheme="minorHAnsi"/>
        </w:rPr>
        <w:t>result</w:t>
      </w:r>
      <w:r w:rsidR="00E41819">
        <w:rPr>
          <w:rFonts w:cstheme="minorHAnsi"/>
        </w:rPr>
        <w:t xml:space="preserve"> in a consideration </w:t>
      </w:r>
      <w:r w:rsidR="00792CAC">
        <w:rPr>
          <w:rFonts w:cstheme="minorHAnsi"/>
        </w:rPr>
        <w:t xml:space="preserve">receivable by the Company </w:t>
      </w:r>
      <w:r w:rsidR="00A95C86">
        <w:rPr>
          <w:rFonts w:cstheme="minorHAnsi"/>
        </w:rPr>
        <w:t>of approximately £</w:t>
      </w:r>
      <w:r w:rsidR="007D64D8">
        <w:rPr>
          <w:rFonts w:cstheme="minorHAnsi"/>
        </w:rPr>
        <w:t xml:space="preserve">57.3 </w:t>
      </w:r>
      <w:r w:rsidR="00E41819">
        <w:rPr>
          <w:rFonts w:cstheme="minorHAnsi"/>
        </w:rPr>
        <w:t>million</w:t>
      </w:r>
      <w:r w:rsidR="00CD6AB5">
        <w:rPr>
          <w:rFonts w:cstheme="minorHAnsi"/>
        </w:rPr>
        <w:t>.</w:t>
      </w:r>
      <w:r>
        <w:rPr>
          <w:rFonts w:cstheme="minorHAnsi"/>
        </w:rPr>
        <w:t xml:space="preserve">  The </w:t>
      </w:r>
      <w:r w:rsidR="005F3030">
        <w:rPr>
          <w:rFonts w:cstheme="minorHAnsi"/>
        </w:rPr>
        <w:t>completion of the Disposal was announced on 29 October 2021.</w:t>
      </w:r>
    </w:p>
    <w:p w14:paraId="7A429B39" w14:textId="039F6090" w:rsidR="005F3030" w:rsidRDefault="005F3030" w:rsidP="00A421FA">
      <w:pPr>
        <w:jc w:val="both"/>
        <w:rPr>
          <w:rFonts w:cstheme="minorHAnsi"/>
        </w:rPr>
      </w:pPr>
      <w:r>
        <w:rPr>
          <w:rFonts w:cstheme="minorHAnsi"/>
        </w:rPr>
        <w:t>Following Completion, the Company engaged with the Purchaser on the completion accounts exercise</w:t>
      </w:r>
      <w:r w:rsidR="00E55B1B">
        <w:rPr>
          <w:rFonts w:cstheme="minorHAnsi"/>
        </w:rPr>
        <w:t>.  In the course of that exercise,</w:t>
      </w:r>
      <w:r>
        <w:rPr>
          <w:rFonts w:cstheme="minorHAnsi"/>
        </w:rPr>
        <w:t xml:space="preserve"> a difference arose in relation to </w:t>
      </w:r>
      <w:r w:rsidR="00C77D87">
        <w:rPr>
          <w:rFonts w:cstheme="minorHAnsi"/>
        </w:rPr>
        <w:t xml:space="preserve">the amount of a provision </w:t>
      </w:r>
      <w:r>
        <w:rPr>
          <w:rFonts w:cstheme="minorHAnsi"/>
        </w:rPr>
        <w:t xml:space="preserve">for capital expenditure </w:t>
      </w:r>
      <w:r w:rsidR="004A692D">
        <w:rPr>
          <w:rFonts w:cstheme="minorHAnsi"/>
        </w:rPr>
        <w:t xml:space="preserve">in respect of works </w:t>
      </w:r>
      <w:r>
        <w:rPr>
          <w:rFonts w:cstheme="minorHAnsi"/>
        </w:rPr>
        <w:t>to certain of the cold store division</w:t>
      </w:r>
      <w:r w:rsidR="001D06ED">
        <w:rPr>
          <w:rFonts w:cstheme="minorHAnsi"/>
        </w:rPr>
        <w:t>’</w:t>
      </w:r>
      <w:r>
        <w:rPr>
          <w:rFonts w:cstheme="minorHAnsi"/>
        </w:rPr>
        <w:t>s premises</w:t>
      </w:r>
      <w:r w:rsidR="00E55B1B">
        <w:rPr>
          <w:rFonts w:cstheme="minorHAnsi"/>
        </w:rPr>
        <w:t>, following the receipt of tenders and indicative pricing for the</w:t>
      </w:r>
      <w:r w:rsidR="004A692D">
        <w:rPr>
          <w:rFonts w:cstheme="minorHAnsi"/>
        </w:rPr>
        <w:t>se</w:t>
      </w:r>
      <w:r w:rsidR="00E55B1B">
        <w:rPr>
          <w:rFonts w:cstheme="minorHAnsi"/>
        </w:rPr>
        <w:t xml:space="preserve"> works</w:t>
      </w:r>
      <w:r>
        <w:rPr>
          <w:rFonts w:cstheme="minorHAnsi"/>
        </w:rPr>
        <w:t xml:space="preserve">.  Following </w:t>
      </w:r>
      <w:r w:rsidR="00C77D87">
        <w:rPr>
          <w:rFonts w:cstheme="minorHAnsi"/>
        </w:rPr>
        <w:t xml:space="preserve">a </w:t>
      </w:r>
      <w:r>
        <w:rPr>
          <w:rFonts w:cstheme="minorHAnsi"/>
        </w:rPr>
        <w:t xml:space="preserve">due diligence exercise, the Company has </w:t>
      </w:r>
      <w:r w:rsidR="00C77D87">
        <w:rPr>
          <w:rFonts w:cstheme="minorHAnsi"/>
        </w:rPr>
        <w:t xml:space="preserve">ultimately </w:t>
      </w:r>
      <w:r>
        <w:rPr>
          <w:rFonts w:cstheme="minorHAnsi"/>
        </w:rPr>
        <w:t>agreed that a</w:t>
      </w:r>
      <w:r w:rsidR="00C77D87">
        <w:rPr>
          <w:rFonts w:cstheme="minorHAnsi"/>
        </w:rPr>
        <w:t>n adjustment to the purchase price of £</w:t>
      </w:r>
      <w:r w:rsidR="00112730" w:rsidRPr="00112730">
        <w:rPr>
          <w:rFonts w:cstheme="minorHAnsi"/>
        </w:rPr>
        <w:t>1,160,765</w:t>
      </w:r>
      <w:r>
        <w:rPr>
          <w:rFonts w:cstheme="minorHAnsi"/>
        </w:rPr>
        <w:t xml:space="preserve"> </w:t>
      </w:r>
      <w:r w:rsidR="00C77D87">
        <w:rPr>
          <w:rFonts w:cstheme="minorHAnsi"/>
        </w:rPr>
        <w:t xml:space="preserve">be made, with a consequent </w:t>
      </w:r>
      <w:r>
        <w:rPr>
          <w:rFonts w:cstheme="minorHAnsi"/>
        </w:rPr>
        <w:t xml:space="preserve">payment of </w:t>
      </w:r>
      <w:r w:rsidR="004528D6">
        <w:rPr>
          <w:rFonts w:cstheme="minorHAnsi"/>
        </w:rPr>
        <w:t xml:space="preserve">an equivalent amount </w:t>
      </w:r>
      <w:r w:rsidR="00C77D87">
        <w:rPr>
          <w:rFonts w:cstheme="minorHAnsi"/>
        </w:rPr>
        <w:t>to the Purchaser.</w:t>
      </w:r>
      <w:r w:rsidR="00112730" w:rsidRPr="00112730">
        <w:t xml:space="preserve"> </w:t>
      </w:r>
    </w:p>
    <w:p w14:paraId="72FC8BBD" w14:textId="266A8A65" w:rsidR="00C77D87" w:rsidRDefault="00C77D87" w:rsidP="00A421FA">
      <w:pPr>
        <w:jc w:val="both"/>
        <w:rPr>
          <w:rFonts w:cstheme="minorHAnsi"/>
        </w:rPr>
      </w:pPr>
      <w:r>
        <w:rPr>
          <w:rFonts w:cstheme="minorHAnsi"/>
        </w:rPr>
        <w:t>Commenting on the matter, Executive Chairman Ted O’Neill stated: “while it is obviously disappointing that our original estimate of capital expenditure could not be borne out, I am pleased that we have settled the matter at this early stage</w:t>
      </w:r>
      <w:r w:rsidR="001D06ED">
        <w:rPr>
          <w:rFonts w:cstheme="minorHAnsi"/>
        </w:rPr>
        <w:t xml:space="preserve"> and without engaging in what might have been a </w:t>
      </w:r>
      <w:r w:rsidR="00112730">
        <w:rPr>
          <w:rFonts w:cstheme="minorHAnsi"/>
        </w:rPr>
        <w:t xml:space="preserve">protracted and </w:t>
      </w:r>
      <w:r w:rsidR="001D06ED">
        <w:rPr>
          <w:rFonts w:cstheme="minorHAnsi"/>
        </w:rPr>
        <w:t xml:space="preserve">lengthy </w:t>
      </w:r>
      <w:r w:rsidR="00112730">
        <w:rPr>
          <w:rFonts w:cstheme="minorHAnsi"/>
        </w:rPr>
        <w:t>exercise</w:t>
      </w:r>
      <w:r>
        <w:rPr>
          <w:rFonts w:cstheme="minorHAnsi"/>
        </w:rPr>
        <w:t>.</w:t>
      </w:r>
      <w:r w:rsidR="001D06ED">
        <w:rPr>
          <w:rFonts w:cstheme="minorHAnsi"/>
        </w:rPr>
        <w:t xml:space="preserve">  The company is able to pay this amount </w:t>
      </w:r>
      <w:r w:rsidR="00936E15">
        <w:rPr>
          <w:rFonts w:cstheme="minorHAnsi"/>
        </w:rPr>
        <w:t xml:space="preserve">from </w:t>
      </w:r>
      <w:r w:rsidR="001D06ED">
        <w:rPr>
          <w:rFonts w:cstheme="minorHAnsi"/>
        </w:rPr>
        <w:t>its existing cash resources without any recourse to borrowing or any effect to its ongoing business plans</w:t>
      </w:r>
      <w:r w:rsidR="001039B7">
        <w:rPr>
          <w:rFonts w:cstheme="minorHAnsi"/>
        </w:rPr>
        <w:t>.</w:t>
      </w:r>
      <w:r w:rsidR="001D06ED">
        <w:rPr>
          <w:rFonts w:cstheme="minorHAnsi"/>
        </w:rPr>
        <w:t>”</w:t>
      </w:r>
    </w:p>
    <w:p w14:paraId="237D5D0C" w14:textId="496ADB93" w:rsidR="001D06ED" w:rsidRDefault="001D06ED" w:rsidP="00A421FA">
      <w:pPr>
        <w:jc w:val="both"/>
        <w:rPr>
          <w:rFonts w:cstheme="minorHAnsi"/>
        </w:rPr>
      </w:pPr>
      <w:r>
        <w:rPr>
          <w:rFonts w:cstheme="minorHAnsi"/>
        </w:rPr>
        <w:t xml:space="preserve">The Company also announces that it has been agreed with Deputy Chairman Aidan Hughes </w:t>
      </w:r>
      <w:r w:rsidR="00CF054D">
        <w:rPr>
          <w:rFonts w:cstheme="minorHAnsi"/>
        </w:rPr>
        <w:t xml:space="preserve">that he </w:t>
      </w:r>
      <w:r>
        <w:rPr>
          <w:rFonts w:cstheme="minorHAnsi"/>
        </w:rPr>
        <w:t>should continue in an executive role until 31 December 2022, with primary responsibility for corporate transactions and new ventures, on the same terms and conditions as applied heretofore (save as to responsibilities).</w:t>
      </w:r>
    </w:p>
    <w:p w14:paraId="63627535" w14:textId="15F95448" w:rsidR="00B45668" w:rsidRPr="00C23647" w:rsidRDefault="002863AC" w:rsidP="0018673B">
      <w:pPr>
        <w:pStyle w:val="BodyText"/>
        <w:spacing w:after="240"/>
        <w:jc w:val="both"/>
        <w:rPr>
          <w:rFonts w:cstheme="minorHAnsi"/>
          <w:szCs w:val="22"/>
        </w:rPr>
      </w:pPr>
      <w:r w:rsidRPr="00C23647">
        <w:rPr>
          <w:rFonts w:cstheme="minorHAnsi"/>
          <w:szCs w:val="22"/>
        </w:rPr>
        <w:t>The Directors of the Company accept responsibility for the contents of this announcement.</w:t>
      </w:r>
    </w:p>
    <w:p w14:paraId="42F17B9A" w14:textId="1427DF21"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 Enquiries:</w:t>
      </w:r>
    </w:p>
    <w:tbl>
      <w:tblPr>
        <w:tblW w:w="9632" w:type="dxa"/>
        <w:tblCellSpacing w:w="0" w:type="dxa"/>
        <w:tblCellMar>
          <w:left w:w="0" w:type="dxa"/>
          <w:right w:w="0" w:type="dxa"/>
        </w:tblCellMar>
        <w:tblLook w:val="04A0" w:firstRow="1" w:lastRow="0" w:firstColumn="1" w:lastColumn="0" w:noHBand="0" w:noVBand="1"/>
      </w:tblPr>
      <w:tblGrid>
        <w:gridCol w:w="4982"/>
        <w:gridCol w:w="4650"/>
      </w:tblGrid>
      <w:tr w:rsidR="00960C81" w:rsidRPr="00C23647" w14:paraId="0653AC3B" w14:textId="77777777" w:rsidTr="00960C81">
        <w:trPr>
          <w:tblCellSpacing w:w="0" w:type="dxa"/>
        </w:trPr>
        <w:tc>
          <w:tcPr>
            <w:tcW w:w="0" w:type="auto"/>
            <w:hideMark/>
          </w:tcPr>
          <w:p w14:paraId="451FAA1F" w14:textId="1CC2D878" w:rsidR="00960C81" w:rsidRPr="00C23647" w:rsidRDefault="001D06ED" w:rsidP="00960C81">
            <w:pPr>
              <w:spacing w:after="100" w:afterAutospacing="1" w:line="240" w:lineRule="auto"/>
              <w:jc w:val="both"/>
              <w:rPr>
                <w:rFonts w:eastAsia="Times New Roman" w:cstheme="minorHAnsi"/>
                <w:color w:val="212721"/>
              </w:rPr>
            </w:pPr>
            <w:r>
              <w:rPr>
                <w:rFonts w:eastAsia="Times New Roman" w:cstheme="minorHAnsi"/>
                <w:color w:val="212721"/>
              </w:rPr>
              <w:t>Roebuck</w:t>
            </w:r>
          </w:p>
        </w:tc>
        <w:tc>
          <w:tcPr>
            <w:tcW w:w="0" w:type="auto"/>
            <w:hideMark/>
          </w:tcPr>
          <w:p w14:paraId="6ACE45AB"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 </w:t>
            </w:r>
          </w:p>
        </w:tc>
      </w:tr>
      <w:tr w:rsidR="00960C81" w:rsidRPr="00C23647" w14:paraId="71C2A652" w14:textId="77777777" w:rsidTr="00960C81">
        <w:trPr>
          <w:tblCellSpacing w:w="0" w:type="dxa"/>
        </w:trPr>
        <w:tc>
          <w:tcPr>
            <w:tcW w:w="0" w:type="auto"/>
            <w:hideMark/>
          </w:tcPr>
          <w:p w14:paraId="530317B1" w14:textId="538126CA" w:rsidR="00960C81" w:rsidRPr="00C23647" w:rsidRDefault="00960C81">
            <w:pPr>
              <w:spacing w:after="100" w:afterAutospacing="1" w:line="240" w:lineRule="auto"/>
              <w:jc w:val="both"/>
              <w:rPr>
                <w:rFonts w:eastAsia="Times New Roman" w:cstheme="minorHAnsi"/>
                <w:color w:val="212721"/>
              </w:rPr>
            </w:pPr>
            <w:r w:rsidRPr="00C23647">
              <w:rPr>
                <w:rFonts w:eastAsia="Times New Roman" w:cstheme="minorHAnsi"/>
                <w:color w:val="212721"/>
              </w:rPr>
              <w:t xml:space="preserve">Aidan Hughes, </w:t>
            </w:r>
            <w:r w:rsidR="00E55B1B">
              <w:rPr>
                <w:rFonts w:eastAsia="Times New Roman" w:cstheme="minorHAnsi"/>
                <w:color w:val="212721"/>
              </w:rPr>
              <w:t>Deputy Chairman</w:t>
            </w:r>
          </w:p>
        </w:tc>
        <w:tc>
          <w:tcPr>
            <w:tcW w:w="0" w:type="auto"/>
            <w:hideMark/>
          </w:tcPr>
          <w:p w14:paraId="38B0CD59"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Telephone: + 44 1293 862 498</w:t>
            </w:r>
          </w:p>
        </w:tc>
      </w:tr>
      <w:tr w:rsidR="00960C81" w:rsidRPr="00C23647" w14:paraId="251501C2" w14:textId="77777777" w:rsidTr="00960C81">
        <w:trPr>
          <w:tblCellSpacing w:w="0" w:type="dxa"/>
        </w:trPr>
        <w:tc>
          <w:tcPr>
            <w:tcW w:w="0" w:type="auto"/>
            <w:hideMark/>
          </w:tcPr>
          <w:p w14:paraId="53739392"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 </w:t>
            </w:r>
          </w:p>
        </w:tc>
        <w:tc>
          <w:tcPr>
            <w:tcW w:w="0" w:type="auto"/>
            <w:hideMark/>
          </w:tcPr>
          <w:p w14:paraId="13F12494"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 </w:t>
            </w:r>
          </w:p>
        </w:tc>
      </w:tr>
      <w:tr w:rsidR="00960C81" w:rsidRPr="00C23647" w14:paraId="3EC8F6F0" w14:textId="77777777" w:rsidTr="00960C81">
        <w:trPr>
          <w:tblCellSpacing w:w="0" w:type="dxa"/>
        </w:trPr>
        <w:tc>
          <w:tcPr>
            <w:tcW w:w="0" w:type="auto"/>
            <w:hideMark/>
          </w:tcPr>
          <w:p w14:paraId="31F12799"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 </w:t>
            </w:r>
          </w:p>
          <w:p w14:paraId="0B88F44C"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lastRenderedPageBreak/>
              <w:t>Davy</w:t>
            </w:r>
          </w:p>
        </w:tc>
        <w:tc>
          <w:tcPr>
            <w:tcW w:w="0" w:type="auto"/>
            <w:hideMark/>
          </w:tcPr>
          <w:p w14:paraId="2010C7AD"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lastRenderedPageBreak/>
              <w:t> </w:t>
            </w:r>
          </w:p>
        </w:tc>
      </w:tr>
      <w:tr w:rsidR="00960C81" w:rsidRPr="00C23647" w14:paraId="60903BA6" w14:textId="77777777" w:rsidTr="00960C81">
        <w:trPr>
          <w:tblCellSpacing w:w="0" w:type="dxa"/>
        </w:trPr>
        <w:tc>
          <w:tcPr>
            <w:tcW w:w="0" w:type="auto"/>
            <w:hideMark/>
          </w:tcPr>
          <w:p w14:paraId="3EB62CC7"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Anthony Farrell</w:t>
            </w:r>
          </w:p>
        </w:tc>
        <w:tc>
          <w:tcPr>
            <w:tcW w:w="0" w:type="auto"/>
            <w:hideMark/>
          </w:tcPr>
          <w:p w14:paraId="6DE0B518"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Telephone: + 353 1 679 6363</w:t>
            </w:r>
          </w:p>
        </w:tc>
      </w:tr>
    </w:tbl>
    <w:p w14:paraId="6BFD08C9" w14:textId="77777777" w:rsidR="00B07C01" w:rsidRPr="00C23647" w:rsidRDefault="00B07C01" w:rsidP="00B07C01">
      <w:pPr>
        <w:pStyle w:val="BodyText"/>
        <w:spacing w:after="240"/>
        <w:jc w:val="both"/>
        <w:rPr>
          <w:rFonts w:cstheme="minorHAnsi"/>
          <w:szCs w:val="22"/>
        </w:rPr>
      </w:pPr>
    </w:p>
    <w:p w14:paraId="7D94FE2D" w14:textId="77777777" w:rsidR="00B07C01" w:rsidRPr="00C23647" w:rsidRDefault="00B07C01" w:rsidP="001D4222">
      <w:pPr>
        <w:rPr>
          <w:rFonts w:cstheme="minorHAnsi"/>
          <w:lang w:val="en-IE"/>
        </w:rPr>
      </w:pPr>
    </w:p>
    <w:sectPr w:rsidR="00B07C01" w:rsidRPr="00C23647" w:rsidSect="007578C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4F3D" w14:textId="77777777" w:rsidR="006561EF" w:rsidRDefault="006561EF" w:rsidP="001D4222">
      <w:pPr>
        <w:spacing w:after="0" w:line="240" w:lineRule="auto"/>
      </w:pPr>
      <w:r>
        <w:separator/>
      </w:r>
    </w:p>
  </w:endnote>
  <w:endnote w:type="continuationSeparator" w:id="0">
    <w:p w14:paraId="6B9A4722" w14:textId="77777777" w:rsidR="006561EF" w:rsidRDefault="006561EF" w:rsidP="001D4222">
      <w:pPr>
        <w:spacing w:after="0" w:line="240" w:lineRule="auto"/>
      </w:pPr>
      <w:r>
        <w:continuationSeparator/>
      </w:r>
    </w:p>
  </w:endnote>
  <w:endnote w:type="continuationNotice" w:id="1">
    <w:p w14:paraId="7895B593" w14:textId="77777777" w:rsidR="006561EF" w:rsidRDefault="00656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E354" w14:textId="3D981857" w:rsidR="001D4222" w:rsidRDefault="001D4222">
    <w:pPr>
      <w:pStyle w:val="Footer"/>
    </w:pPr>
  </w:p>
  <w:p w14:paraId="0874E06B" w14:textId="70464780" w:rsidR="007074CF" w:rsidRDefault="00D543E3" w:rsidP="007074CF">
    <w:pPr>
      <w:pStyle w:val="Footer"/>
      <w:jc w:val="right"/>
    </w:pPr>
    <w:r>
      <w:fldChar w:fldCharType="begin"/>
    </w:r>
    <w:r>
      <w:instrText xml:space="preserve"> DOCPROPERTY "IWFooter"  \* MERGEFORMAT </w:instrText>
    </w:r>
    <w:r>
      <w:fldChar w:fldCharType="separate"/>
    </w:r>
    <w:r w:rsidRPr="00D543E3">
      <w:rPr>
        <w:sz w:val="16"/>
      </w:rPr>
      <w:t>MHC-27540286-1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B397" w14:textId="01AE1CB7" w:rsidR="001D4222" w:rsidRDefault="001D4222">
    <w:pPr>
      <w:pStyle w:val="Footer"/>
    </w:pPr>
  </w:p>
  <w:p w14:paraId="2731CA61" w14:textId="7FBE0470" w:rsidR="007074CF" w:rsidRDefault="007074CF" w:rsidP="007578C9">
    <w:pPr>
      <w:pStyle w:val="Footer"/>
    </w:pPr>
  </w:p>
  <w:p w14:paraId="37BD2D15" w14:textId="396D6112" w:rsidR="007578C9" w:rsidRDefault="00D543E3" w:rsidP="00545A20">
    <w:pPr>
      <w:pStyle w:val="Footer"/>
    </w:pPr>
    <w:r>
      <w:fldChar w:fldCharType="begin"/>
    </w:r>
    <w:r>
      <w:instrText xml:space="preserve"> DOCPROPERTY "IWFooter"  \* MERGEFORMAT </w:instrText>
    </w:r>
    <w:r>
      <w:fldChar w:fldCharType="separate"/>
    </w:r>
    <w:r w:rsidRPr="00D543E3">
      <w:rPr>
        <w:sz w:val="16"/>
      </w:rPr>
      <w:t>MHC-27540286-1</w:t>
    </w:r>
    <w:r>
      <w:rPr>
        <w:sz w:val="16"/>
      </w:rPr>
      <w:fldChar w:fldCharType="end"/>
    </w:r>
    <w:r w:rsidR="00545A20">
      <w:tab/>
    </w:r>
    <w:r w:rsidR="00545A20">
      <w:fldChar w:fldCharType="begin"/>
    </w:r>
    <w:r w:rsidR="00545A20">
      <w:instrText xml:space="preserve"> PAGE   \* MERGEFORMAT </w:instrText>
    </w:r>
    <w:r w:rsidR="00545A20">
      <w:fldChar w:fldCharType="separate"/>
    </w:r>
    <w:r w:rsidR="00D57D30">
      <w:rPr>
        <w:noProof/>
      </w:rPr>
      <w:t>2</w:t>
    </w:r>
    <w:r w:rsidR="00545A20">
      <w:fldChar w:fldCharType="end"/>
    </w:r>
    <w:r w:rsidR="00545A20">
      <w:t>/</w:t>
    </w:r>
    <w:r>
      <w:fldChar w:fldCharType="begin"/>
    </w:r>
    <w:r>
      <w:instrText xml:space="preserve"> NUMPAGES   \* MERGEFORMAT </w:instrText>
    </w:r>
    <w:r>
      <w:fldChar w:fldCharType="separate"/>
    </w:r>
    <w:r w:rsidR="00D57D30">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2AC5" w14:textId="554B4229" w:rsidR="001D4222" w:rsidRDefault="001D4222">
    <w:pPr>
      <w:pStyle w:val="Footer"/>
    </w:pPr>
  </w:p>
  <w:p w14:paraId="2095A1E2" w14:textId="7C31F5CF" w:rsidR="007074CF" w:rsidRDefault="00D543E3" w:rsidP="007074CF">
    <w:pPr>
      <w:pStyle w:val="Footer"/>
      <w:jc w:val="right"/>
    </w:pPr>
    <w:r>
      <w:fldChar w:fldCharType="begin"/>
    </w:r>
    <w:r>
      <w:instrText xml:space="preserve"> DOCPROPERTY "IWFooter"  \* MERGEFORMAT </w:instrText>
    </w:r>
    <w:r>
      <w:fldChar w:fldCharType="separate"/>
    </w:r>
    <w:r w:rsidRPr="00D543E3">
      <w:rPr>
        <w:sz w:val="16"/>
      </w:rPr>
      <w:t>MHC-27540286-1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81E5" w14:textId="77777777" w:rsidR="006561EF" w:rsidRDefault="006561EF" w:rsidP="001D4222">
      <w:pPr>
        <w:spacing w:after="0" w:line="240" w:lineRule="auto"/>
      </w:pPr>
      <w:r>
        <w:separator/>
      </w:r>
    </w:p>
  </w:footnote>
  <w:footnote w:type="continuationSeparator" w:id="0">
    <w:p w14:paraId="735B4195" w14:textId="77777777" w:rsidR="006561EF" w:rsidRDefault="006561EF" w:rsidP="001D4222">
      <w:pPr>
        <w:spacing w:after="0" w:line="240" w:lineRule="auto"/>
      </w:pPr>
      <w:r>
        <w:continuationSeparator/>
      </w:r>
    </w:p>
  </w:footnote>
  <w:footnote w:type="continuationNotice" w:id="1">
    <w:p w14:paraId="25384525" w14:textId="77777777" w:rsidR="006561EF" w:rsidRDefault="00656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6714" w14:textId="77777777" w:rsidR="00E36FDD" w:rsidRDefault="00E36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C121" w14:textId="77777777" w:rsidR="00E36FDD" w:rsidRDefault="00E36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BF97" w14:textId="77777777" w:rsidR="00E36FDD" w:rsidRDefault="00E36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DE9"/>
    <w:multiLevelType w:val="hybridMultilevel"/>
    <w:tmpl w:val="72EC315E"/>
    <w:lvl w:ilvl="0" w:tplc="0F5CAE18">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9D2352A"/>
    <w:multiLevelType w:val="hybridMultilevel"/>
    <w:tmpl w:val="B9B29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222"/>
    <w:rsid w:val="000054B9"/>
    <w:rsid w:val="00015433"/>
    <w:rsid w:val="0003100F"/>
    <w:rsid w:val="00096B5F"/>
    <w:rsid w:val="000B31DA"/>
    <w:rsid w:val="000B6359"/>
    <w:rsid w:val="000F407D"/>
    <w:rsid w:val="001039B7"/>
    <w:rsid w:val="00105E94"/>
    <w:rsid w:val="00111F26"/>
    <w:rsid w:val="00112730"/>
    <w:rsid w:val="00115AB1"/>
    <w:rsid w:val="00177CA5"/>
    <w:rsid w:val="00181192"/>
    <w:rsid w:val="0018673B"/>
    <w:rsid w:val="001C09BD"/>
    <w:rsid w:val="001D06ED"/>
    <w:rsid w:val="001D4222"/>
    <w:rsid w:val="001E4F2E"/>
    <w:rsid w:val="001E7A03"/>
    <w:rsid w:val="002007EA"/>
    <w:rsid w:val="00210CA0"/>
    <w:rsid w:val="00237C08"/>
    <w:rsid w:val="00247C40"/>
    <w:rsid w:val="00254E16"/>
    <w:rsid w:val="00262B69"/>
    <w:rsid w:val="002863AC"/>
    <w:rsid w:val="002928A0"/>
    <w:rsid w:val="002C7B4B"/>
    <w:rsid w:val="002E2A9A"/>
    <w:rsid w:val="002F797D"/>
    <w:rsid w:val="00314FB1"/>
    <w:rsid w:val="003266AE"/>
    <w:rsid w:val="00367F57"/>
    <w:rsid w:val="003F4435"/>
    <w:rsid w:val="004517B0"/>
    <w:rsid w:val="004521AD"/>
    <w:rsid w:val="004528D6"/>
    <w:rsid w:val="00482AFD"/>
    <w:rsid w:val="004A692D"/>
    <w:rsid w:val="00522E4D"/>
    <w:rsid w:val="00542046"/>
    <w:rsid w:val="00545A20"/>
    <w:rsid w:val="00575E73"/>
    <w:rsid w:val="005D70B2"/>
    <w:rsid w:val="005F3030"/>
    <w:rsid w:val="006561EF"/>
    <w:rsid w:val="006C73C6"/>
    <w:rsid w:val="006D2ACA"/>
    <w:rsid w:val="006F0B27"/>
    <w:rsid w:val="007074CF"/>
    <w:rsid w:val="007525F0"/>
    <w:rsid w:val="007578C9"/>
    <w:rsid w:val="00792CAC"/>
    <w:rsid w:val="007B0571"/>
    <w:rsid w:val="007B3DE0"/>
    <w:rsid w:val="007B5325"/>
    <w:rsid w:val="007C3E89"/>
    <w:rsid w:val="007D64D8"/>
    <w:rsid w:val="007F1EF1"/>
    <w:rsid w:val="00821579"/>
    <w:rsid w:val="008963DB"/>
    <w:rsid w:val="008C0108"/>
    <w:rsid w:val="00936E15"/>
    <w:rsid w:val="009371BB"/>
    <w:rsid w:val="00960C81"/>
    <w:rsid w:val="00970F1B"/>
    <w:rsid w:val="009730A7"/>
    <w:rsid w:val="00980C3E"/>
    <w:rsid w:val="00994013"/>
    <w:rsid w:val="009944E3"/>
    <w:rsid w:val="009D1976"/>
    <w:rsid w:val="009D7A2A"/>
    <w:rsid w:val="00A17171"/>
    <w:rsid w:val="00A421FA"/>
    <w:rsid w:val="00A75668"/>
    <w:rsid w:val="00A95C86"/>
    <w:rsid w:val="00A97D36"/>
    <w:rsid w:val="00AA7BC8"/>
    <w:rsid w:val="00AE1F5D"/>
    <w:rsid w:val="00B02B74"/>
    <w:rsid w:val="00B07C01"/>
    <w:rsid w:val="00B13290"/>
    <w:rsid w:val="00B2358B"/>
    <w:rsid w:val="00B30A82"/>
    <w:rsid w:val="00B33016"/>
    <w:rsid w:val="00B403B9"/>
    <w:rsid w:val="00B45668"/>
    <w:rsid w:val="00B77016"/>
    <w:rsid w:val="00C20F56"/>
    <w:rsid w:val="00C23647"/>
    <w:rsid w:val="00C23DED"/>
    <w:rsid w:val="00C77D87"/>
    <w:rsid w:val="00CC41FD"/>
    <w:rsid w:val="00CD2CFF"/>
    <w:rsid w:val="00CD6AB5"/>
    <w:rsid w:val="00CD76A9"/>
    <w:rsid w:val="00CF054D"/>
    <w:rsid w:val="00D037F8"/>
    <w:rsid w:val="00D117D3"/>
    <w:rsid w:val="00D543E3"/>
    <w:rsid w:val="00D56AB5"/>
    <w:rsid w:val="00D57D30"/>
    <w:rsid w:val="00D859C1"/>
    <w:rsid w:val="00DB61A1"/>
    <w:rsid w:val="00DC6E8D"/>
    <w:rsid w:val="00E024A2"/>
    <w:rsid w:val="00E21638"/>
    <w:rsid w:val="00E3142A"/>
    <w:rsid w:val="00E36974"/>
    <w:rsid w:val="00E36FDD"/>
    <w:rsid w:val="00E41819"/>
    <w:rsid w:val="00E50F9C"/>
    <w:rsid w:val="00E55B1B"/>
    <w:rsid w:val="00E712AE"/>
    <w:rsid w:val="00E93D05"/>
    <w:rsid w:val="00EA6882"/>
    <w:rsid w:val="00EB06EC"/>
    <w:rsid w:val="00EB2C17"/>
    <w:rsid w:val="00EE3C42"/>
    <w:rsid w:val="00F115F3"/>
    <w:rsid w:val="00F861E4"/>
    <w:rsid w:val="00F929DE"/>
    <w:rsid w:val="00FD69AA"/>
    <w:rsid w:val="00FE1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00978"/>
  <w15:docId w15:val="{98BF6867-C562-4602-BAF9-2DFC80B9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456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222"/>
  </w:style>
  <w:style w:type="paragraph" w:styleId="Footer">
    <w:name w:val="footer"/>
    <w:basedOn w:val="Normal"/>
    <w:link w:val="FooterChar"/>
    <w:uiPriority w:val="99"/>
    <w:unhideWhenUsed/>
    <w:rsid w:val="001D4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222"/>
  </w:style>
  <w:style w:type="character" w:customStyle="1" w:styleId="BodyTextChar">
    <w:name w:val="Body Text Char"/>
    <w:aliases w:val="Body Text Char Char Char Char Char Char"/>
    <w:basedOn w:val="DefaultParagraphFont"/>
    <w:link w:val="BodyText"/>
    <w:uiPriority w:val="99"/>
    <w:locked/>
    <w:rsid w:val="00B07C01"/>
    <w:rPr>
      <w:szCs w:val="20"/>
    </w:rPr>
  </w:style>
  <w:style w:type="paragraph" w:styleId="BodyText">
    <w:name w:val="Body Text"/>
    <w:aliases w:val="Body Text Char Char Char Char Char"/>
    <w:basedOn w:val="Normal"/>
    <w:link w:val="BodyTextChar"/>
    <w:uiPriority w:val="99"/>
    <w:unhideWhenUsed/>
    <w:rsid w:val="00B07C01"/>
    <w:pPr>
      <w:spacing w:after="0" w:line="240" w:lineRule="auto"/>
    </w:pPr>
    <w:rPr>
      <w:szCs w:val="20"/>
    </w:rPr>
  </w:style>
  <w:style w:type="character" w:customStyle="1" w:styleId="BodyTextChar1">
    <w:name w:val="Body Text Char1"/>
    <w:basedOn w:val="DefaultParagraphFont"/>
    <w:uiPriority w:val="99"/>
    <w:semiHidden/>
    <w:rsid w:val="00B07C01"/>
  </w:style>
  <w:style w:type="paragraph" w:styleId="ListParagraph">
    <w:name w:val="List Paragraph"/>
    <w:basedOn w:val="Normal"/>
    <w:uiPriority w:val="99"/>
    <w:qFormat/>
    <w:rsid w:val="00B07C01"/>
    <w:pPr>
      <w:spacing w:after="0" w:line="240" w:lineRule="auto"/>
      <w:ind w:left="720"/>
      <w:contextualSpacing/>
    </w:pPr>
    <w:rPr>
      <w:rFonts w:ascii="Times" w:eastAsia="Times New Roman" w:hAnsi="Times" w:cs="Times New Roman"/>
      <w:sz w:val="20"/>
      <w:szCs w:val="20"/>
      <w:lang w:val="en-GB" w:eastAsia="en-GB"/>
    </w:rPr>
  </w:style>
  <w:style w:type="paragraph" w:customStyle="1" w:styleId="N1">
    <w:name w:val="N1"/>
    <w:basedOn w:val="Heading2"/>
    <w:qFormat/>
    <w:rsid w:val="00B45668"/>
    <w:pPr>
      <w:keepNext w:val="0"/>
      <w:keepLines w:val="0"/>
      <w:tabs>
        <w:tab w:val="left" w:pos="964"/>
      </w:tabs>
      <w:spacing w:before="0" w:after="240" w:line="240" w:lineRule="auto"/>
      <w:ind w:left="964" w:hanging="964"/>
      <w:jc w:val="both"/>
    </w:pPr>
    <w:rPr>
      <w:rFonts w:ascii="Arial" w:hAnsi="Arial" w:cs="Arial"/>
      <w:bCs/>
      <w:color w:val="auto"/>
      <w:sz w:val="22"/>
      <w:szCs w:val="22"/>
      <w:lang w:val="en-IE"/>
    </w:rPr>
  </w:style>
  <w:style w:type="character" w:customStyle="1" w:styleId="Heading2Char">
    <w:name w:val="Heading 2 Char"/>
    <w:basedOn w:val="DefaultParagraphFont"/>
    <w:link w:val="Heading2"/>
    <w:uiPriority w:val="9"/>
    <w:semiHidden/>
    <w:rsid w:val="00B45668"/>
    <w:rPr>
      <w:rFonts w:asciiTheme="majorHAnsi" w:eastAsiaTheme="majorEastAsia" w:hAnsiTheme="majorHAnsi" w:cstheme="majorBidi"/>
      <w:color w:val="2F5496" w:themeColor="accent1" w:themeShade="BF"/>
      <w:sz w:val="26"/>
      <w:szCs w:val="26"/>
    </w:rPr>
  </w:style>
  <w:style w:type="paragraph" w:customStyle="1" w:styleId="hm">
    <w:name w:val="hm"/>
    <w:basedOn w:val="Normal"/>
    <w:rsid w:val="00960C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5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B9"/>
    <w:rPr>
      <w:rFonts w:ascii="Tahoma" w:hAnsi="Tahoma" w:cs="Tahoma"/>
      <w:sz w:val="16"/>
      <w:szCs w:val="16"/>
    </w:rPr>
  </w:style>
  <w:style w:type="paragraph" w:styleId="Revision">
    <w:name w:val="Revision"/>
    <w:hidden/>
    <w:uiPriority w:val="99"/>
    <w:semiHidden/>
    <w:rsid w:val="008963DB"/>
    <w:pPr>
      <w:spacing w:after="0" w:line="240" w:lineRule="auto"/>
    </w:pPr>
  </w:style>
  <w:style w:type="character" w:styleId="CommentReference">
    <w:name w:val="annotation reference"/>
    <w:basedOn w:val="DefaultParagraphFont"/>
    <w:uiPriority w:val="99"/>
    <w:semiHidden/>
    <w:unhideWhenUsed/>
    <w:rsid w:val="00115AB1"/>
    <w:rPr>
      <w:sz w:val="18"/>
      <w:szCs w:val="18"/>
    </w:rPr>
  </w:style>
  <w:style w:type="paragraph" w:styleId="CommentText">
    <w:name w:val="annotation text"/>
    <w:basedOn w:val="Normal"/>
    <w:link w:val="CommentTextChar"/>
    <w:uiPriority w:val="99"/>
    <w:semiHidden/>
    <w:unhideWhenUsed/>
    <w:rsid w:val="00115AB1"/>
  </w:style>
  <w:style w:type="character" w:customStyle="1" w:styleId="CommentTextChar">
    <w:name w:val="Comment Text Char"/>
    <w:basedOn w:val="DefaultParagraphFont"/>
    <w:link w:val="CommentText"/>
    <w:uiPriority w:val="99"/>
    <w:semiHidden/>
    <w:rsid w:val="00115AB1"/>
    <w:rPr>
      <w:rFonts w:eastAsiaTheme="minorEastAsia"/>
    </w:rPr>
  </w:style>
  <w:style w:type="paragraph" w:styleId="CommentSubject">
    <w:name w:val="annotation subject"/>
    <w:basedOn w:val="CommentText"/>
    <w:next w:val="CommentText"/>
    <w:link w:val="CommentSubjectChar"/>
    <w:uiPriority w:val="99"/>
    <w:semiHidden/>
    <w:unhideWhenUsed/>
    <w:rsid w:val="00115AB1"/>
    <w:rPr>
      <w:b/>
      <w:bCs/>
    </w:rPr>
  </w:style>
  <w:style w:type="character" w:customStyle="1" w:styleId="CommentSubjectChar">
    <w:name w:val="Comment Subject Char"/>
    <w:basedOn w:val="CommentTextChar"/>
    <w:link w:val="CommentSubject"/>
    <w:uiPriority w:val="99"/>
    <w:semiHidden/>
    <w:rsid w:val="00115AB1"/>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11062">
      <w:bodyDiv w:val="1"/>
      <w:marLeft w:val="0"/>
      <w:marRight w:val="0"/>
      <w:marTop w:val="0"/>
      <w:marBottom w:val="0"/>
      <w:divBdr>
        <w:top w:val="none" w:sz="0" w:space="0" w:color="auto"/>
        <w:left w:val="none" w:sz="0" w:space="0" w:color="auto"/>
        <w:bottom w:val="none" w:sz="0" w:space="0" w:color="auto"/>
        <w:right w:val="none" w:sz="0" w:space="0" w:color="auto"/>
      </w:divBdr>
    </w:div>
    <w:div w:id="697656430">
      <w:bodyDiv w:val="1"/>
      <w:marLeft w:val="0"/>
      <w:marRight w:val="0"/>
      <w:marTop w:val="0"/>
      <w:marBottom w:val="0"/>
      <w:divBdr>
        <w:top w:val="none" w:sz="0" w:space="0" w:color="auto"/>
        <w:left w:val="none" w:sz="0" w:space="0" w:color="auto"/>
        <w:bottom w:val="none" w:sz="0" w:space="0" w:color="auto"/>
        <w:right w:val="none" w:sz="0" w:space="0" w:color="auto"/>
      </w:divBdr>
    </w:div>
    <w:div w:id="925845892">
      <w:bodyDiv w:val="1"/>
      <w:marLeft w:val="0"/>
      <w:marRight w:val="0"/>
      <w:marTop w:val="0"/>
      <w:marBottom w:val="0"/>
      <w:divBdr>
        <w:top w:val="none" w:sz="0" w:space="0" w:color="auto"/>
        <w:left w:val="none" w:sz="0" w:space="0" w:color="auto"/>
        <w:bottom w:val="none" w:sz="0" w:space="0" w:color="auto"/>
        <w:right w:val="none" w:sz="0" w:space="0" w:color="auto"/>
      </w:divBdr>
    </w:div>
    <w:div w:id="1066106423">
      <w:bodyDiv w:val="1"/>
      <w:marLeft w:val="0"/>
      <w:marRight w:val="0"/>
      <w:marTop w:val="0"/>
      <w:marBottom w:val="0"/>
      <w:divBdr>
        <w:top w:val="none" w:sz="0" w:space="0" w:color="auto"/>
        <w:left w:val="none" w:sz="0" w:space="0" w:color="auto"/>
        <w:bottom w:val="none" w:sz="0" w:space="0" w:color="auto"/>
        <w:right w:val="none" w:sz="0" w:space="0" w:color="auto"/>
      </w:divBdr>
    </w:div>
    <w:div w:id="1089077278">
      <w:bodyDiv w:val="1"/>
      <w:marLeft w:val="0"/>
      <w:marRight w:val="0"/>
      <w:marTop w:val="0"/>
      <w:marBottom w:val="0"/>
      <w:divBdr>
        <w:top w:val="none" w:sz="0" w:space="0" w:color="auto"/>
        <w:left w:val="none" w:sz="0" w:space="0" w:color="auto"/>
        <w:bottom w:val="none" w:sz="0" w:space="0" w:color="auto"/>
        <w:right w:val="none" w:sz="0" w:space="0" w:color="auto"/>
      </w:divBdr>
    </w:div>
    <w:div w:id="1121221470">
      <w:bodyDiv w:val="1"/>
      <w:marLeft w:val="0"/>
      <w:marRight w:val="0"/>
      <w:marTop w:val="0"/>
      <w:marBottom w:val="0"/>
      <w:divBdr>
        <w:top w:val="none" w:sz="0" w:space="0" w:color="auto"/>
        <w:left w:val="none" w:sz="0" w:space="0" w:color="auto"/>
        <w:bottom w:val="none" w:sz="0" w:space="0" w:color="auto"/>
        <w:right w:val="none" w:sz="0" w:space="0" w:color="auto"/>
      </w:divBdr>
    </w:div>
    <w:div w:id="1153135595">
      <w:bodyDiv w:val="1"/>
      <w:marLeft w:val="0"/>
      <w:marRight w:val="0"/>
      <w:marTop w:val="0"/>
      <w:marBottom w:val="0"/>
      <w:divBdr>
        <w:top w:val="none" w:sz="0" w:space="0" w:color="auto"/>
        <w:left w:val="none" w:sz="0" w:space="0" w:color="auto"/>
        <w:bottom w:val="none" w:sz="0" w:space="0" w:color="auto"/>
        <w:right w:val="none" w:sz="0" w:space="0" w:color="auto"/>
      </w:divBdr>
    </w:div>
    <w:div w:id="1187720877">
      <w:bodyDiv w:val="1"/>
      <w:marLeft w:val="0"/>
      <w:marRight w:val="0"/>
      <w:marTop w:val="0"/>
      <w:marBottom w:val="0"/>
      <w:divBdr>
        <w:top w:val="none" w:sz="0" w:space="0" w:color="auto"/>
        <w:left w:val="none" w:sz="0" w:space="0" w:color="auto"/>
        <w:bottom w:val="none" w:sz="0" w:space="0" w:color="auto"/>
        <w:right w:val="none" w:sz="0" w:space="0" w:color="auto"/>
      </w:divBdr>
    </w:div>
    <w:div w:id="1206991798">
      <w:bodyDiv w:val="1"/>
      <w:marLeft w:val="0"/>
      <w:marRight w:val="0"/>
      <w:marTop w:val="0"/>
      <w:marBottom w:val="0"/>
      <w:divBdr>
        <w:top w:val="none" w:sz="0" w:space="0" w:color="auto"/>
        <w:left w:val="none" w:sz="0" w:space="0" w:color="auto"/>
        <w:bottom w:val="none" w:sz="0" w:space="0" w:color="auto"/>
        <w:right w:val="none" w:sz="0" w:space="0" w:color="auto"/>
      </w:divBdr>
    </w:div>
    <w:div w:id="14078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2417</Characters>
  <Application>Microsoft Office Word</Application>
  <DocSecurity>0</DocSecurity>
  <PresentationFormat/>
  <Lines>47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 Egan SC</cp:lastModifiedBy>
  <cp:revision>2</cp:revision>
  <cp:lastPrinted>2021-09-28T13:58:00Z</cp:lastPrinted>
  <dcterms:created xsi:type="dcterms:W3CDTF">2022-02-18T11:35:00Z</dcterms:created>
  <dcterms:modified xsi:type="dcterms:W3CDTF">2022-02-18T11:35:00Z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MHC-27540286-1</vt:lpwstr>
  </property>
  <property fmtid="{D5CDD505-2E9C-101B-9397-08002B2CF9AE}" pid="3" name="iManTInitials">
    <vt:lpwstr>PE</vt:lpwstr>
  </property>
  <property fmtid="{D5CDD505-2E9C-101B-9397-08002B2CF9AE}" pid="4" name="iManOInitials">
    <vt:lpwstr>PE</vt:lpwstr>
  </property>
  <property fmtid="{D5CDD505-2E9C-101B-9397-08002B2CF9AE}" pid="5" name="IWOwner">
    <vt:lpwstr>PEGAN</vt:lpwstr>
  </property>
  <property fmtid="{D5CDD505-2E9C-101B-9397-08002B2CF9AE}" pid="6" name="IWOwnerName">
    <vt:lpwstr>Paul Egan SC</vt:lpwstr>
  </property>
  <property fmtid="{D5CDD505-2E9C-101B-9397-08002B2CF9AE}" pid="7" name="IWClientNum">
    <vt:lpwstr>51661</vt:lpwstr>
  </property>
  <property fmtid="{D5CDD505-2E9C-101B-9397-08002B2CF9AE}" pid="8" name="IWClientName">
    <vt:lpwstr>Roebuck Food Group plc</vt:lpwstr>
  </property>
  <property fmtid="{D5CDD505-2E9C-101B-9397-08002B2CF9AE}" pid="9" name="IWMatterNum">
    <vt:lpwstr>1</vt:lpwstr>
  </property>
  <property fmtid="{D5CDD505-2E9C-101B-9397-08002B2CF9AE}" pid="10" name="IWMatterDesc">
    <vt:lpwstr>Securities Law and Markets Compliance 2022</vt:lpwstr>
  </property>
  <property fmtid="{D5CDD505-2E9C-101B-9397-08002B2CF9AE}" pid="11" name="IWOurRef">
    <vt:lpwstr>PE</vt:lpwstr>
  </property>
  <property fmtid="{D5CDD505-2E9C-101B-9397-08002B2CF9AE}" pid="12" name="IWClientMatter">
    <vt:lpwstr>51661/1</vt:lpwstr>
  </property>
</Properties>
</file>