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0FE98" w14:textId="6FE1350C" w:rsidR="00D7383B" w:rsidRPr="0069677A" w:rsidRDefault="00C41D6F" w:rsidP="00C41D6F">
      <w:pPr>
        <w:pBdr>
          <w:bottom w:val="single" w:sz="8" w:space="5" w:color="000000"/>
        </w:pBdr>
        <w:suppressAutoHyphens/>
        <w:overflowPunct/>
        <w:spacing w:line="288" w:lineRule="auto"/>
        <w:jc w:val="center"/>
        <w:textAlignment w:val="center"/>
        <w:rPr>
          <w:rFonts w:ascii="Arial" w:hAnsi="Arial" w:cs="Arial"/>
          <w:b/>
          <w:bCs/>
          <w:caps/>
          <w:sz w:val="22"/>
          <w:szCs w:val="22"/>
          <w:lang w:eastAsia="en-GB"/>
        </w:rPr>
      </w:pPr>
      <w:bookmarkStart w:id="0" w:name="_GoBack"/>
      <w:bookmarkEnd w:id="0"/>
      <w:r w:rsidRPr="0069677A">
        <w:rPr>
          <w:rFonts w:ascii="Arial" w:hAnsi="Arial" w:cs="Arial"/>
          <w:b/>
          <w:sz w:val="22"/>
          <w:szCs w:val="22"/>
          <w:lang w:val="en-IE"/>
        </w:rPr>
        <w:t>THIS ANNOUNCEMENT CONTAINS INSIDE INFORMATION</w:t>
      </w:r>
    </w:p>
    <w:p w14:paraId="5B81795A" w14:textId="6FE5AAA9" w:rsidR="00BF6318" w:rsidRPr="0006489A" w:rsidRDefault="00BF6318" w:rsidP="00BF6318">
      <w:pPr>
        <w:pBdr>
          <w:bottom w:val="single" w:sz="8" w:space="5" w:color="000000"/>
        </w:pBdr>
        <w:suppressAutoHyphens/>
        <w:overflowPunct/>
        <w:spacing w:line="288" w:lineRule="auto"/>
        <w:textAlignment w:val="center"/>
        <w:rPr>
          <w:rFonts w:ascii="Arial" w:hAnsi="Arial" w:cs="Arial"/>
          <w:b/>
          <w:bCs/>
          <w:caps/>
          <w:color w:val="000000"/>
          <w:sz w:val="30"/>
          <w:szCs w:val="30"/>
          <w:lang w:eastAsia="en-GB"/>
        </w:rPr>
      </w:pPr>
      <w:r w:rsidRPr="0006489A">
        <w:rPr>
          <w:rFonts w:ascii="Arial" w:hAnsi="Arial" w:cs="Arial"/>
          <w:b/>
          <w:bCs/>
          <w:caps/>
          <w:color w:val="000000"/>
          <w:sz w:val="30"/>
          <w:szCs w:val="30"/>
          <w:lang w:eastAsia="en-GB"/>
        </w:rPr>
        <w:t>Chairman’s Statement</w:t>
      </w:r>
    </w:p>
    <w:p w14:paraId="11194A1D" w14:textId="77777777" w:rsidR="00BF6318" w:rsidRDefault="00BF6318" w:rsidP="00BF6318">
      <w:pPr>
        <w:jc w:val="both"/>
        <w:rPr>
          <w:iCs/>
          <w:sz w:val="22"/>
        </w:rPr>
      </w:pPr>
    </w:p>
    <w:p w14:paraId="7FA49446" w14:textId="77777777" w:rsidR="00921DCA" w:rsidRDefault="00921DCA" w:rsidP="00921DCA">
      <w:pPr>
        <w:overflowPunct/>
        <w:autoSpaceDE/>
        <w:autoSpaceDN/>
        <w:adjustRightInd/>
        <w:textAlignment w:val="auto"/>
        <w:rPr>
          <w:sz w:val="24"/>
          <w:szCs w:val="24"/>
        </w:rPr>
      </w:pPr>
      <w:proofErr w:type="spellStart"/>
      <w:r w:rsidRPr="00544E49">
        <w:rPr>
          <w:sz w:val="24"/>
          <w:szCs w:val="24"/>
        </w:rPr>
        <w:t>Norish</w:t>
      </w:r>
      <w:proofErr w:type="spellEnd"/>
      <w:r w:rsidRPr="00544E49">
        <w:rPr>
          <w:sz w:val="24"/>
          <w:szCs w:val="24"/>
        </w:rPr>
        <w:t xml:space="preserve"> plc (AIM: NSH), is pleased to announce its results for the year ended 31 December 20</w:t>
      </w:r>
      <w:r>
        <w:rPr>
          <w:sz w:val="24"/>
          <w:szCs w:val="24"/>
        </w:rPr>
        <w:t>20</w:t>
      </w:r>
      <w:r w:rsidRPr="00544E49">
        <w:rPr>
          <w:sz w:val="24"/>
          <w:szCs w:val="24"/>
        </w:rPr>
        <w:t xml:space="preserve">. </w:t>
      </w:r>
    </w:p>
    <w:p w14:paraId="67D9303F" w14:textId="77777777" w:rsidR="00921DCA" w:rsidRDefault="00921DCA" w:rsidP="00921DCA">
      <w:pPr>
        <w:overflowPunct/>
        <w:autoSpaceDE/>
        <w:autoSpaceDN/>
        <w:adjustRightInd/>
        <w:textAlignment w:val="auto"/>
        <w:rPr>
          <w:sz w:val="24"/>
          <w:szCs w:val="24"/>
        </w:rPr>
      </w:pPr>
    </w:p>
    <w:p w14:paraId="121CD39B" w14:textId="77777777" w:rsidR="00921DCA" w:rsidRDefault="00921DCA" w:rsidP="00921DCA">
      <w:pPr>
        <w:rPr>
          <w:sz w:val="24"/>
          <w:szCs w:val="24"/>
          <w:lang w:val="en-IE"/>
        </w:rPr>
      </w:pPr>
      <w:r w:rsidRPr="00A13160">
        <w:rPr>
          <w:sz w:val="24"/>
          <w:szCs w:val="24"/>
          <w:lang w:val="en-IE"/>
        </w:rPr>
        <w:t>Notwithstanding Covid 19 and Brexit associated disruption, our business performed very well in the period under review.</w:t>
      </w:r>
      <w:r>
        <w:rPr>
          <w:sz w:val="24"/>
          <w:szCs w:val="24"/>
          <w:lang w:val="en-IE"/>
        </w:rPr>
        <w:t xml:space="preserve"> </w:t>
      </w:r>
    </w:p>
    <w:p w14:paraId="76EE984E" w14:textId="77777777" w:rsidR="00921DCA" w:rsidRDefault="00921DCA" w:rsidP="00921DCA">
      <w:pPr>
        <w:pStyle w:val="ListParagraph"/>
        <w:numPr>
          <w:ilvl w:val="0"/>
          <w:numId w:val="25"/>
        </w:numPr>
        <w:rPr>
          <w:sz w:val="24"/>
          <w:szCs w:val="24"/>
          <w:lang w:val="en-IE"/>
        </w:rPr>
      </w:pPr>
      <w:r>
        <w:rPr>
          <w:sz w:val="24"/>
          <w:szCs w:val="24"/>
          <w:lang w:val="en-IE"/>
        </w:rPr>
        <w:t>The</w:t>
      </w:r>
      <w:r w:rsidRPr="00A13160">
        <w:rPr>
          <w:sz w:val="24"/>
          <w:szCs w:val="24"/>
          <w:lang w:val="en-IE"/>
        </w:rPr>
        <w:t xml:space="preserve"> </w:t>
      </w:r>
      <w:r>
        <w:rPr>
          <w:sz w:val="24"/>
          <w:szCs w:val="24"/>
          <w:lang w:val="en-IE"/>
        </w:rPr>
        <w:t>cold store division</w:t>
      </w:r>
      <w:r w:rsidRPr="00A13160">
        <w:rPr>
          <w:sz w:val="24"/>
          <w:szCs w:val="24"/>
          <w:lang w:val="en-IE"/>
        </w:rPr>
        <w:t xml:space="preserve"> saw an EBITDA decline of only 2%, despite greatly reduced pallet intakes and slower stock turn. </w:t>
      </w:r>
    </w:p>
    <w:p w14:paraId="4A8A451C" w14:textId="05697485" w:rsidR="00F20E60" w:rsidRDefault="00F20E60" w:rsidP="00921DCA">
      <w:pPr>
        <w:pStyle w:val="ListParagraph"/>
        <w:numPr>
          <w:ilvl w:val="0"/>
          <w:numId w:val="25"/>
        </w:numPr>
        <w:rPr>
          <w:sz w:val="24"/>
          <w:szCs w:val="24"/>
          <w:lang w:val="en-IE"/>
        </w:rPr>
      </w:pPr>
      <w:r>
        <w:rPr>
          <w:sz w:val="24"/>
          <w:szCs w:val="24"/>
          <w:lang w:val="en-IE"/>
        </w:rPr>
        <w:t>Our dairy divisi</w:t>
      </w:r>
      <w:r w:rsidR="0025189B">
        <w:rPr>
          <w:sz w:val="24"/>
          <w:szCs w:val="24"/>
          <w:lang w:val="en-IE"/>
        </w:rPr>
        <w:t>on continues to execute to plan,</w:t>
      </w:r>
      <w:r>
        <w:rPr>
          <w:sz w:val="24"/>
          <w:szCs w:val="24"/>
          <w:lang w:val="en-IE"/>
        </w:rPr>
        <w:t xml:space="preserve"> commercialising A2 protein milk products from our </w:t>
      </w:r>
      <w:r w:rsidR="0052419E">
        <w:rPr>
          <w:sz w:val="24"/>
          <w:szCs w:val="24"/>
          <w:lang w:val="en-IE"/>
        </w:rPr>
        <w:t xml:space="preserve">own </w:t>
      </w:r>
      <w:r>
        <w:rPr>
          <w:sz w:val="24"/>
          <w:szCs w:val="24"/>
          <w:lang w:val="en-IE"/>
        </w:rPr>
        <w:t xml:space="preserve">unique milk source. </w:t>
      </w:r>
    </w:p>
    <w:p w14:paraId="08E434A1" w14:textId="496C0A7B" w:rsidR="00921DCA" w:rsidRDefault="00921DCA" w:rsidP="00921DCA">
      <w:pPr>
        <w:pStyle w:val="ListParagraph"/>
        <w:numPr>
          <w:ilvl w:val="0"/>
          <w:numId w:val="25"/>
        </w:numPr>
        <w:rPr>
          <w:sz w:val="24"/>
          <w:szCs w:val="24"/>
          <w:lang w:val="en-IE"/>
        </w:rPr>
      </w:pPr>
      <w:r>
        <w:rPr>
          <w:sz w:val="24"/>
          <w:szCs w:val="24"/>
          <w:lang w:val="en-IE"/>
        </w:rPr>
        <w:t xml:space="preserve">The </w:t>
      </w:r>
      <w:r w:rsidRPr="00A13160">
        <w:rPr>
          <w:sz w:val="24"/>
          <w:szCs w:val="24"/>
          <w:lang w:val="en-IE"/>
        </w:rPr>
        <w:t xml:space="preserve">protein sourcing business </w:t>
      </w:r>
      <w:r w:rsidR="00575BB2">
        <w:rPr>
          <w:sz w:val="24"/>
          <w:szCs w:val="24"/>
          <w:lang w:val="en-IE"/>
        </w:rPr>
        <w:t>continued to be</w:t>
      </w:r>
      <w:r w:rsidRPr="00A13160">
        <w:rPr>
          <w:sz w:val="24"/>
          <w:szCs w:val="24"/>
          <w:lang w:val="en-IE"/>
        </w:rPr>
        <w:t xml:space="preserve"> profitable in the period under review. </w:t>
      </w:r>
    </w:p>
    <w:p w14:paraId="35C3C4ED" w14:textId="00E75754" w:rsidR="00921DCA" w:rsidRDefault="00921DCA" w:rsidP="00921DCA">
      <w:pPr>
        <w:pStyle w:val="ListParagraph"/>
        <w:numPr>
          <w:ilvl w:val="0"/>
          <w:numId w:val="25"/>
        </w:numPr>
        <w:rPr>
          <w:sz w:val="24"/>
          <w:szCs w:val="24"/>
          <w:lang w:val="en-IE"/>
        </w:rPr>
      </w:pPr>
      <w:r>
        <w:rPr>
          <w:sz w:val="24"/>
          <w:szCs w:val="24"/>
          <w:lang w:val="en-IE"/>
        </w:rPr>
        <w:t>B</w:t>
      </w:r>
      <w:r w:rsidRPr="00A13160">
        <w:rPr>
          <w:sz w:val="24"/>
          <w:szCs w:val="24"/>
          <w:lang w:val="en-IE"/>
        </w:rPr>
        <w:t>alance sheet further improved, with net debt reduced.</w:t>
      </w:r>
    </w:p>
    <w:p w14:paraId="32669A08" w14:textId="5BE06951" w:rsidR="00921DCA" w:rsidRPr="00C132BC" w:rsidRDefault="0052419E" w:rsidP="00C54B29">
      <w:pPr>
        <w:numPr>
          <w:ilvl w:val="0"/>
          <w:numId w:val="25"/>
        </w:numPr>
        <w:overflowPunct/>
        <w:autoSpaceDE/>
        <w:autoSpaceDN/>
        <w:adjustRightInd/>
        <w:jc w:val="both"/>
        <w:textAlignment w:val="auto"/>
        <w:rPr>
          <w:sz w:val="24"/>
          <w:szCs w:val="24"/>
        </w:rPr>
      </w:pPr>
      <w:r w:rsidRPr="00C132BC">
        <w:rPr>
          <w:sz w:val="24"/>
          <w:szCs w:val="24"/>
          <w:lang w:val="en-US" w:eastAsia="en-US"/>
        </w:rPr>
        <w:t>Strategic review of Cold Store</w:t>
      </w:r>
      <w:r w:rsidR="00C132BC" w:rsidRPr="00C132BC">
        <w:rPr>
          <w:sz w:val="24"/>
          <w:szCs w:val="24"/>
          <w:lang w:val="en-US" w:eastAsia="en-US"/>
        </w:rPr>
        <w:t xml:space="preserve"> Assets </w:t>
      </w:r>
      <w:r w:rsidR="00A461A9" w:rsidRPr="00C132BC">
        <w:rPr>
          <w:sz w:val="24"/>
          <w:szCs w:val="24"/>
          <w:lang w:val="en-US" w:eastAsia="en-US"/>
        </w:rPr>
        <w:t>i</w:t>
      </w:r>
      <w:r w:rsidR="00A461A9">
        <w:rPr>
          <w:sz w:val="24"/>
          <w:szCs w:val="24"/>
          <w:lang w:val="en-US" w:eastAsia="en-US"/>
        </w:rPr>
        <w:t>n</w:t>
      </w:r>
      <w:r w:rsidR="00A461A9" w:rsidRPr="00C132BC">
        <w:rPr>
          <w:sz w:val="24"/>
          <w:szCs w:val="24"/>
          <w:lang w:val="en-US" w:eastAsia="en-US"/>
        </w:rPr>
        <w:t>itiated</w:t>
      </w:r>
      <w:r w:rsidR="00C132BC" w:rsidRPr="00C132BC">
        <w:rPr>
          <w:sz w:val="24"/>
          <w:szCs w:val="24"/>
          <w:lang w:val="en-US" w:eastAsia="en-US"/>
        </w:rPr>
        <w:t>.</w:t>
      </w:r>
    </w:p>
    <w:p w14:paraId="252FE7E5" w14:textId="77777777" w:rsidR="00921DCA" w:rsidRPr="00544E49" w:rsidRDefault="00921DCA" w:rsidP="00921DCA">
      <w:pPr>
        <w:overflowPunct/>
        <w:autoSpaceDE/>
        <w:autoSpaceDN/>
        <w:adjustRightInd/>
        <w:textAlignment w:val="auto"/>
        <w:rPr>
          <w:szCs w:val="24"/>
          <w:lang w:eastAsia="en-US"/>
        </w:rPr>
      </w:pPr>
    </w:p>
    <w:p w14:paraId="39DFFE81" w14:textId="77777777" w:rsidR="00921DCA" w:rsidRPr="00FE042F" w:rsidRDefault="00921DCA" w:rsidP="00921DCA">
      <w:pPr>
        <w:overflowPunct/>
        <w:autoSpaceDE/>
        <w:autoSpaceDN/>
        <w:adjustRightInd/>
        <w:jc w:val="both"/>
        <w:textAlignment w:val="auto"/>
        <w:rPr>
          <w:b/>
          <w:sz w:val="24"/>
          <w:szCs w:val="24"/>
          <w:lang w:val="en-US" w:eastAsia="en-US"/>
        </w:rPr>
      </w:pPr>
      <w:r>
        <w:rPr>
          <w:b/>
          <w:sz w:val="24"/>
          <w:szCs w:val="24"/>
          <w:lang w:val="en-US" w:eastAsia="en-US"/>
        </w:rPr>
        <w:t xml:space="preserve">Group </w:t>
      </w:r>
      <w:r w:rsidRPr="00FE042F">
        <w:rPr>
          <w:b/>
          <w:sz w:val="24"/>
          <w:szCs w:val="24"/>
          <w:lang w:val="en-US" w:eastAsia="en-US"/>
        </w:rPr>
        <w:t>Financial Highlights</w:t>
      </w:r>
      <w:r>
        <w:rPr>
          <w:b/>
          <w:sz w:val="24"/>
          <w:szCs w:val="24"/>
          <w:lang w:val="en-US" w:eastAsia="en-US"/>
        </w:rPr>
        <w:t xml:space="preserve"> </w:t>
      </w:r>
    </w:p>
    <w:p w14:paraId="61336B2F" w14:textId="4A936D27" w:rsidR="00921DCA" w:rsidRPr="0063684B" w:rsidRDefault="00921DCA" w:rsidP="00921DCA">
      <w:pPr>
        <w:numPr>
          <w:ilvl w:val="0"/>
          <w:numId w:val="1"/>
        </w:numPr>
        <w:overflowPunct/>
        <w:autoSpaceDE/>
        <w:autoSpaceDN/>
        <w:adjustRightInd/>
        <w:jc w:val="both"/>
        <w:textAlignment w:val="auto"/>
        <w:rPr>
          <w:sz w:val="24"/>
          <w:szCs w:val="24"/>
          <w:lang w:val="en-US" w:eastAsia="en-US"/>
        </w:rPr>
      </w:pPr>
      <w:r w:rsidRPr="0063684B">
        <w:rPr>
          <w:sz w:val="24"/>
          <w:szCs w:val="24"/>
          <w:lang w:val="en-US" w:eastAsia="en-US"/>
        </w:rPr>
        <w:t xml:space="preserve">Group revenue </w:t>
      </w:r>
      <w:r>
        <w:rPr>
          <w:sz w:val="24"/>
          <w:szCs w:val="24"/>
          <w:lang w:val="en-US" w:eastAsia="en-US"/>
        </w:rPr>
        <w:t>reduced</w:t>
      </w:r>
      <w:r w:rsidRPr="0063684B">
        <w:rPr>
          <w:sz w:val="24"/>
          <w:szCs w:val="24"/>
          <w:lang w:val="en-US" w:eastAsia="en-US"/>
        </w:rPr>
        <w:t xml:space="preserve"> by </w:t>
      </w:r>
      <w:r>
        <w:rPr>
          <w:sz w:val="24"/>
          <w:szCs w:val="24"/>
          <w:lang w:val="en-US" w:eastAsia="en-US"/>
        </w:rPr>
        <w:t>2</w:t>
      </w:r>
      <w:r w:rsidRPr="0063684B">
        <w:rPr>
          <w:sz w:val="24"/>
          <w:szCs w:val="24"/>
          <w:lang w:val="en-US" w:eastAsia="en-US"/>
        </w:rPr>
        <w:t>% to £</w:t>
      </w:r>
      <w:r>
        <w:rPr>
          <w:sz w:val="24"/>
          <w:szCs w:val="24"/>
          <w:lang w:val="en-US" w:eastAsia="en-US"/>
        </w:rPr>
        <w:t>33.4m</w:t>
      </w:r>
      <w:r w:rsidRPr="0063684B">
        <w:rPr>
          <w:sz w:val="24"/>
          <w:szCs w:val="24"/>
          <w:lang w:val="en-US" w:eastAsia="en-US"/>
        </w:rPr>
        <w:t xml:space="preserve"> (2019: £</w:t>
      </w:r>
      <w:r>
        <w:rPr>
          <w:sz w:val="24"/>
          <w:szCs w:val="24"/>
          <w:lang w:val="en-US" w:eastAsia="en-US"/>
        </w:rPr>
        <w:t>34.1m</w:t>
      </w:r>
      <w:r w:rsidRPr="0063684B">
        <w:rPr>
          <w:sz w:val="24"/>
          <w:szCs w:val="24"/>
          <w:lang w:val="en-US" w:eastAsia="en-US"/>
        </w:rPr>
        <w:t>)</w:t>
      </w:r>
    </w:p>
    <w:p w14:paraId="0CA3DF7E" w14:textId="6891093A" w:rsidR="00921DCA" w:rsidRPr="0063684B" w:rsidRDefault="00921DCA" w:rsidP="00921DCA">
      <w:pPr>
        <w:numPr>
          <w:ilvl w:val="0"/>
          <w:numId w:val="1"/>
        </w:numPr>
        <w:overflowPunct/>
        <w:autoSpaceDE/>
        <w:autoSpaceDN/>
        <w:adjustRightInd/>
        <w:jc w:val="both"/>
        <w:textAlignment w:val="auto"/>
        <w:rPr>
          <w:sz w:val="24"/>
          <w:szCs w:val="24"/>
          <w:lang w:val="en-US" w:eastAsia="en-US"/>
        </w:rPr>
      </w:pPr>
      <w:r w:rsidRPr="0063684B">
        <w:rPr>
          <w:sz w:val="24"/>
          <w:szCs w:val="24"/>
          <w:lang w:val="en-US" w:eastAsia="en-US"/>
        </w:rPr>
        <w:t xml:space="preserve">Profit before tax </w:t>
      </w:r>
      <w:r>
        <w:rPr>
          <w:sz w:val="24"/>
          <w:szCs w:val="24"/>
          <w:lang w:val="en-US" w:eastAsia="en-US"/>
        </w:rPr>
        <w:t>reduced</w:t>
      </w:r>
      <w:r w:rsidRPr="0063684B">
        <w:rPr>
          <w:sz w:val="24"/>
          <w:szCs w:val="24"/>
          <w:lang w:val="en-US" w:eastAsia="en-US"/>
        </w:rPr>
        <w:t xml:space="preserve"> by 1</w:t>
      </w:r>
      <w:r w:rsidR="00E57DB3">
        <w:rPr>
          <w:sz w:val="24"/>
          <w:szCs w:val="24"/>
          <w:lang w:val="en-US" w:eastAsia="en-US"/>
        </w:rPr>
        <w:t>4</w:t>
      </w:r>
      <w:r w:rsidRPr="0063684B">
        <w:rPr>
          <w:sz w:val="24"/>
          <w:szCs w:val="24"/>
          <w:lang w:val="en-US" w:eastAsia="en-US"/>
        </w:rPr>
        <w:t>% to £</w:t>
      </w:r>
      <w:r w:rsidR="00E57DB3">
        <w:rPr>
          <w:sz w:val="24"/>
          <w:szCs w:val="24"/>
          <w:lang w:val="en-US" w:eastAsia="en-US"/>
        </w:rPr>
        <w:t>1.98</w:t>
      </w:r>
      <w:r w:rsidRPr="0063684B">
        <w:rPr>
          <w:sz w:val="24"/>
          <w:szCs w:val="24"/>
          <w:lang w:val="en-US" w:eastAsia="en-US"/>
        </w:rPr>
        <w:t>m (2019: £2.</w:t>
      </w:r>
      <w:r w:rsidR="00E57DB3">
        <w:rPr>
          <w:sz w:val="24"/>
          <w:szCs w:val="24"/>
          <w:lang w:val="en-US" w:eastAsia="en-US"/>
        </w:rPr>
        <w:t>31</w:t>
      </w:r>
      <w:r w:rsidRPr="0063684B">
        <w:rPr>
          <w:sz w:val="24"/>
          <w:szCs w:val="24"/>
          <w:lang w:val="en-US" w:eastAsia="en-US"/>
        </w:rPr>
        <w:t>m)</w:t>
      </w:r>
    </w:p>
    <w:p w14:paraId="05C18A17" w14:textId="5C5D60F5" w:rsidR="00921DCA" w:rsidRDefault="00921DCA" w:rsidP="00921DCA">
      <w:pPr>
        <w:numPr>
          <w:ilvl w:val="0"/>
          <w:numId w:val="1"/>
        </w:numPr>
        <w:overflowPunct/>
        <w:autoSpaceDE/>
        <w:autoSpaceDN/>
        <w:adjustRightInd/>
        <w:jc w:val="both"/>
        <w:textAlignment w:val="auto"/>
        <w:rPr>
          <w:sz w:val="24"/>
          <w:szCs w:val="24"/>
          <w:lang w:val="en-US" w:eastAsia="en-US"/>
        </w:rPr>
      </w:pPr>
      <w:r w:rsidRPr="0063684B">
        <w:rPr>
          <w:sz w:val="24"/>
          <w:szCs w:val="24"/>
          <w:lang w:val="en-US" w:eastAsia="en-US"/>
        </w:rPr>
        <w:t xml:space="preserve">Diluted adjusted Eps decreased by </w:t>
      </w:r>
      <w:r w:rsidR="006A6BB6">
        <w:rPr>
          <w:sz w:val="24"/>
          <w:szCs w:val="24"/>
          <w:lang w:val="en-US" w:eastAsia="en-US"/>
        </w:rPr>
        <w:t>21</w:t>
      </w:r>
      <w:r w:rsidRPr="0063684B">
        <w:rPr>
          <w:sz w:val="24"/>
          <w:szCs w:val="24"/>
          <w:lang w:val="en-US" w:eastAsia="en-US"/>
        </w:rPr>
        <w:t>% to 5.</w:t>
      </w:r>
      <w:r w:rsidR="006A6BB6">
        <w:rPr>
          <w:sz w:val="24"/>
          <w:szCs w:val="24"/>
          <w:lang w:val="en-US" w:eastAsia="en-US"/>
        </w:rPr>
        <w:t>02</w:t>
      </w:r>
      <w:r w:rsidRPr="0063684B">
        <w:rPr>
          <w:sz w:val="24"/>
          <w:szCs w:val="24"/>
          <w:lang w:val="en-US" w:eastAsia="en-US"/>
        </w:rPr>
        <w:t>p (2019: 6.</w:t>
      </w:r>
      <w:r>
        <w:rPr>
          <w:sz w:val="24"/>
          <w:szCs w:val="24"/>
          <w:lang w:val="en-US" w:eastAsia="en-US"/>
        </w:rPr>
        <w:t>3</w:t>
      </w:r>
      <w:r w:rsidR="006A6BB6">
        <w:rPr>
          <w:sz w:val="24"/>
          <w:szCs w:val="24"/>
          <w:lang w:val="en-US" w:eastAsia="en-US"/>
        </w:rPr>
        <w:t>3</w:t>
      </w:r>
      <w:r w:rsidRPr="0063684B">
        <w:rPr>
          <w:sz w:val="24"/>
          <w:szCs w:val="24"/>
          <w:lang w:val="en-US" w:eastAsia="en-US"/>
        </w:rPr>
        <w:t>p)</w:t>
      </w:r>
    </w:p>
    <w:p w14:paraId="6CDB595D" w14:textId="0D707C5E" w:rsidR="00921DCA" w:rsidRDefault="00921DCA" w:rsidP="00921DCA">
      <w:pPr>
        <w:numPr>
          <w:ilvl w:val="0"/>
          <w:numId w:val="1"/>
        </w:numPr>
        <w:overflowPunct/>
        <w:autoSpaceDE/>
        <w:autoSpaceDN/>
        <w:adjustRightInd/>
        <w:jc w:val="both"/>
        <w:textAlignment w:val="auto"/>
        <w:rPr>
          <w:sz w:val="24"/>
          <w:szCs w:val="24"/>
          <w:lang w:val="en-US" w:eastAsia="en-US"/>
        </w:rPr>
      </w:pPr>
      <w:r>
        <w:rPr>
          <w:sz w:val="24"/>
          <w:szCs w:val="24"/>
          <w:lang w:val="en-US" w:eastAsia="en-US"/>
        </w:rPr>
        <w:t>Effective tax rates increased to 23.</w:t>
      </w:r>
      <w:r w:rsidR="00E57DB3">
        <w:rPr>
          <w:sz w:val="24"/>
          <w:szCs w:val="24"/>
          <w:lang w:val="en-US" w:eastAsia="en-US"/>
        </w:rPr>
        <w:t>7</w:t>
      </w:r>
      <w:r>
        <w:rPr>
          <w:sz w:val="24"/>
          <w:szCs w:val="24"/>
          <w:lang w:val="en-US" w:eastAsia="en-US"/>
        </w:rPr>
        <w:t>% (2019: 17.8%)</w:t>
      </w:r>
    </w:p>
    <w:p w14:paraId="360029CA" w14:textId="73F2AA3F" w:rsidR="00921DCA" w:rsidRPr="0063684B" w:rsidRDefault="00921DCA" w:rsidP="00921DCA">
      <w:pPr>
        <w:numPr>
          <w:ilvl w:val="0"/>
          <w:numId w:val="1"/>
        </w:numPr>
        <w:overflowPunct/>
        <w:autoSpaceDE/>
        <w:autoSpaceDN/>
        <w:adjustRightInd/>
        <w:jc w:val="both"/>
        <w:textAlignment w:val="auto"/>
        <w:rPr>
          <w:sz w:val="24"/>
          <w:szCs w:val="24"/>
          <w:lang w:val="en-US" w:eastAsia="en-US"/>
        </w:rPr>
      </w:pPr>
      <w:r w:rsidRPr="0063684B">
        <w:rPr>
          <w:sz w:val="24"/>
          <w:szCs w:val="24"/>
          <w:lang w:val="en-US" w:eastAsia="en-US"/>
        </w:rPr>
        <w:t xml:space="preserve">Operating margins decreased </w:t>
      </w:r>
      <w:r>
        <w:rPr>
          <w:sz w:val="24"/>
          <w:szCs w:val="24"/>
          <w:lang w:val="en-US" w:eastAsia="en-US"/>
        </w:rPr>
        <w:t xml:space="preserve">by </w:t>
      </w:r>
      <w:r w:rsidR="00E57DB3">
        <w:rPr>
          <w:sz w:val="24"/>
          <w:szCs w:val="24"/>
          <w:lang w:val="en-US" w:eastAsia="en-US"/>
        </w:rPr>
        <w:t>90</w:t>
      </w:r>
      <w:r>
        <w:rPr>
          <w:sz w:val="24"/>
          <w:szCs w:val="24"/>
          <w:lang w:val="en-US" w:eastAsia="en-US"/>
        </w:rPr>
        <w:t xml:space="preserve"> bps to</w:t>
      </w:r>
      <w:r w:rsidRPr="0063684B">
        <w:rPr>
          <w:sz w:val="24"/>
          <w:szCs w:val="24"/>
          <w:lang w:val="en-US" w:eastAsia="en-US"/>
        </w:rPr>
        <w:t xml:space="preserve"> </w:t>
      </w:r>
      <w:r w:rsidR="00E57DB3">
        <w:rPr>
          <w:sz w:val="24"/>
          <w:szCs w:val="24"/>
          <w:lang w:val="en-US" w:eastAsia="en-US"/>
        </w:rPr>
        <w:t>6.9</w:t>
      </w:r>
      <w:r w:rsidRPr="0063684B">
        <w:rPr>
          <w:sz w:val="24"/>
          <w:szCs w:val="24"/>
          <w:lang w:val="en-US" w:eastAsia="en-US"/>
        </w:rPr>
        <w:t>% (2019: 7.</w:t>
      </w:r>
      <w:r>
        <w:rPr>
          <w:sz w:val="24"/>
          <w:szCs w:val="24"/>
          <w:lang w:val="en-US" w:eastAsia="en-US"/>
        </w:rPr>
        <w:t>8</w:t>
      </w:r>
      <w:r w:rsidRPr="0063684B">
        <w:rPr>
          <w:sz w:val="24"/>
          <w:szCs w:val="24"/>
          <w:lang w:val="en-US" w:eastAsia="en-US"/>
        </w:rPr>
        <w:t>%)</w:t>
      </w:r>
    </w:p>
    <w:p w14:paraId="040BA4CE" w14:textId="39A7D1DB" w:rsidR="0069677A" w:rsidRDefault="0069677A" w:rsidP="0069677A">
      <w:pPr>
        <w:numPr>
          <w:ilvl w:val="0"/>
          <w:numId w:val="1"/>
        </w:numPr>
        <w:overflowPunct/>
        <w:autoSpaceDE/>
        <w:adjustRightInd/>
        <w:jc w:val="both"/>
        <w:textAlignment w:val="auto"/>
        <w:rPr>
          <w:sz w:val="24"/>
          <w:szCs w:val="24"/>
          <w:lang w:val="en-US" w:eastAsia="en-US"/>
        </w:rPr>
      </w:pPr>
      <w:bookmarkStart w:id="1" w:name="_Hlk32908773"/>
      <w:r>
        <w:rPr>
          <w:sz w:val="24"/>
          <w:szCs w:val="24"/>
          <w:lang w:val="en-US" w:eastAsia="en-US"/>
        </w:rPr>
        <w:t xml:space="preserve">Dividend proposed at 2.0 €cent per share (2019: proposed not paid of </w:t>
      </w:r>
      <w:r>
        <w:rPr>
          <w:sz w:val="24"/>
          <w:szCs w:val="24"/>
        </w:rPr>
        <w:t>1.90 €cent per share</w:t>
      </w:r>
      <w:bookmarkEnd w:id="1"/>
      <w:r w:rsidR="0025189B">
        <w:rPr>
          <w:sz w:val="24"/>
          <w:szCs w:val="24"/>
        </w:rPr>
        <w:t>)</w:t>
      </w:r>
    </w:p>
    <w:p w14:paraId="7AE45A34" w14:textId="77777777" w:rsidR="00921DCA" w:rsidRPr="0063684B" w:rsidRDefault="00921DCA" w:rsidP="00921DCA">
      <w:pPr>
        <w:numPr>
          <w:ilvl w:val="0"/>
          <w:numId w:val="1"/>
        </w:numPr>
        <w:overflowPunct/>
        <w:autoSpaceDE/>
        <w:autoSpaceDN/>
        <w:adjustRightInd/>
        <w:jc w:val="both"/>
        <w:textAlignment w:val="auto"/>
        <w:rPr>
          <w:sz w:val="24"/>
          <w:szCs w:val="24"/>
          <w:lang w:val="en-US" w:eastAsia="en-US"/>
        </w:rPr>
      </w:pPr>
      <w:r w:rsidRPr="0063684B">
        <w:rPr>
          <w:sz w:val="24"/>
          <w:szCs w:val="24"/>
          <w:lang w:val="en-US" w:eastAsia="en-US"/>
        </w:rPr>
        <w:t>Net debt was reduced from Stg£9.7m at start of year to Stg£8.7m at year end.</w:t>
      </w:r>
    </w:p>
    <w:p w14:paraId="256582F0" w14:textId="64395117" w:rsidR="00921DCA" w:rsidRDefault="00921DCA" w:rsidP="00921DCA">
      <w:pPr>
        <w:numPr>
          <w:ilvl w:val="0"/>
          <w:numId w:val="1"/>
        </w:numPr>
        <w:overflowPunct/>
        <w:autoSpaceDE/>
        <w:autoSpaceDN/>
        <w:adjustRightInd/>
        <w:jc w:val="both"/>
        <w:textAlignment w:val="auto"/>
        <w:rPr>
          <w:sz w:val="24"/>
          <w:szCs w:val="24"/>
          <w:lang w:val="en-US" w:eastAsia="en-US"/>
        </w:rPr>
      </w:pPr>
      <w:r w:rsidRPr="0063684B">
        <w:rPr>
          <w:sz w:val="24"/>
          <w:szCs w:val="24"/>
          <w:lang w:val="en-US" w:eastAsia="en-US"/>
        </w:rPr>
        <w:t xml:space="preserve">Interest cover </w:t>
      </w:r>
      <w:r>
        <w:rPr>
          <w:sz w:val="24"/>
          <w:szCs w:val="24"/>
          <w:lang w:val="en-US" w:eastAsia="en-US"/>
        </w:rPr>
        <w:t>was</w:t>
      </w:r>
      <w:r w:rsidRPr="0063684B">
        <w:rPr>
          <w:sz w:val="24"/>
          <w:szCs w:val="24"/>
          <w:lang w:val="en-US" w:eastAsia="en-US"/>
        </w:rPr>
        <w:t xml:space="preserve"> 7.</w:t>
      </w:r>
      <w:r w:rsidR="00E57DB3">
        <w:rPr>
          <w:sz w:val="24"/>
          <w:szCs w:val="24"/>
          <w:lang w:val="en-US" w:eastAsia="en-US"/>
        </w:rPr>
        <w:t>3</w:t>
      </w:r>
      <w:r w:rsidRPr="0063684B">
        <w:rPr>
          <w:sz w:val="24"/>
          <w:szCs w:val="24"/>
          <w:lang w:val="en-US" w:eastAsia="en-US"/>
        </w:rPr>
        <w:t xml:space="preserve"> times (2019: 7.</w:t>
      </w:r>
      <w:r w:rsidR="00E57DB3">
        <w:rPr>
          <w:sz w:val="24"/>
          <w:szCs w:val="24"/>
          <w:lang w:val="en-US" w:eastAsia="en-US"/>
        </w:rPr>
        <w:t>7</w:t>
      </w:r>
      <w:r w:rsidRPr="0063684B">
        <w:rPr>
          <w:sz w:val="24"/>
          <w:szCs w:val="24"/>
          <w:lang w:val="en-US" w:eastAsia="en-US"/>
        </w:rPr>
        <w:t xml:space="preserve"> times)</w:t>
      </w:r>
    </w:p>
    <w:p w14:paraId="425D0961" w14:textId="77777777" w:rsidR="00921DCA" w:rsidRPr="00544E49" w:rsidRDefault="00921DCA" w:rsidP="00921DCA">
      <w:pPr>
        <w:jc w:val="both"/>
        <w:rPr>
          <w:sz w:val="22"/>
          <w:szCs w:val="22"/>
          <w:lang w:val="en-US" w:eastAsia="en-US"/>
        </w:rPr>
      </w:pPr>
    </w:p>
    <w:p w14:paraId="50DB1BE2" w14:textId="77777777" w:rsidR="00F20E60" w:rsidRDefault="00F20E60" w:rsidP="00F20E60">
      <w:pPr>
        <w:jc w:val="both"/>
        <w:rPr>
          <w:i/>
          <w:sz w:val="22"/>
          <w:szCs w:val="22"/>
          <w:lang w:val="en-US" w:eastAsia="en-US"/>
        </w:rPr>
      </w:pPr>
      <w:r>
        <w:rPr>
          <w:i/>
        </w:rPr>
        <w:t>Diluted adjusted EPS is calculated using profit for the financial year from continuing operations as the measure of earnings. Financial information above, including comparative information, is from continuing operations only.</w:t>
      </w:r>
    </w:p>
    <w:p w14:paraId="00C992A2" w14:textId="77777777" w:rsidR="00F20E60" w:rsidRDefault="00F20E60" w:rsidP="00F20E60">
      <w:pPr>
        <w:jc w:val="both"/>
        <w:rPr>
          <w:sz w:val="22"/>
          <w:szCs w:val="22"/>
          <w:lang w:val="en-US" w:eastAsia="en-US"/>
        </w:rPr>
      </w:pPr>
    </w:p>
    <w:p w14:paraId="74D20646" w14:textId="77777777" w:rsidR="00921DCA" w:rsidRPr="00544E49" w:rsidRDefault="00921DCA" w:rsidP="00921DCA">
      <w:pPr>
        <w:jc w:val="both"/>
        <w:rPr>
          <w:b/>
          <w:sz w:val="24"/>
          <w:szCs w:val="24"/>
          <w:lang w:eastAsia="en-US"/>
        </w:rPr>
      </w:pPr>
      <w:r w:rsidRPr="00544E49">
        <w:rPr>
          <w:b/>
          <w:sz w:val="24"/>
          <w:szCs w:val="24"/>
          <w:lang w:eastAsia="en-US"/>
        </w:rPr>
        <w:t>Divisional Highlights</w:t>
      </w:r>
    </w:p>
    <w:p w14:paraId="38479E4C" w14:textId="77777777" w:rsidR="00921DCA" w:rsidRPr="00544E49" w:rsidRDefault="00921DCA" w:rsidP="00921DCA">
      <w:pPr>
        <w:jc w:val="both"/>
        <w:rPr>
          <w:b/>
          <w:sz w:val="24"/>
          <w:szCs w:val="24"/>
          <w:lang w:eastAsia="en-US"/>
        </w:rPr>
      </w:pPr>
    </w:p>
    <w:tbl>
      <w:tblPr>
        <w:tblStyle w:val="TableGrid1"/>
        <w:tblW w:w="9858" w:type="dxa"/>
        <w:tblLook w:val="04A0" w:firstRow="1" w:lastRow="0" w:firstColumn="1" w:lastColumn="0" w:noHBand="0" w:noVBand="1"/>
      </w:tblPr>
      <w:tblGrid>
        <w:gridCol w:w="1413"/>
        <w:gridCol w:w="864"/>
        <w:gridCol w:w="948"/>
        <w:gridCol w:w="947"/>
        <w:gridCol w:w="948"/>
        <w:gridCol w:w="947"/>
        <w:gridCol w:w="948"/>
        <w:gridCol w:w="947"/>
        <w:gridCol w:w="948"/>
        <w:gridCol w:w="948"/>
      </w:tblGrid>
      <w:tr w:rsidR="00921DCA" w:rsidRPr="00544E49" w14:paraId="136603E1" w14:textId="77777777" w:rsidTr="00545189">
        <w:tc>
          <w:tcPr>
            <w:tcW w:w="1413" w:type="dxa"/>
            <w:vAlign w:val="center"/>
          </w:tcPr>
          <w:p w14:paraId="2E908E9F" w14:textId="77777777" w:rsidR="00921DCA" w:rsidRPr="00043541" w:rsidRDefault="00921DCA" w:rsidP="00545189">
            <w:pPr>
              <w:jc w:val="center"/>
              <w:rPr>
                <w:b/>
                <w:lang w:eastAsia="en-US"/>
              </w:rPr>
            </w:pPr>
            <w:r w:rsidRPr="00043541">
              <w:rPr>
                <w:b/>
                <w:lang w:eastAsia="en-US"/>
              </w:rPr>
              <w:t>£’m</w:t>
            </w:r>
          </w:p>
        </w:tc>
        <w:tc>
          <w:tcPr>
            <w:tcW w:w="2759" w:type="dxa"/>
            <w:gridSpan w:val="3"/>
            <w:vAlign w:val="center"/>
          </w:tcPr>
          <w:p w14:paraId="7ABC2866" w14:textId="77777777" w:rsidR="00921DCA" w:rsidRPr="00043541" w:rsidRDefault="00921DCA" w:rsidP="00545189">
            <w:pPr>
              <w:jc w:val="center"/>
              <w:rPr>
                <w:b/>
                <w:lang w:eastAsia="en-US"/>
              </w:rPr>
            </w:pPr>
            <w:r w:rsidRPr="00043541">
              <w:rPr>
                <w:b/>
                <w:lang w:eastAsia="en-US"/>
              </w:rPr>
              <w:t>Cold Stores</w:t>
            </w:r>
          </w:p>
        </w:tc>
        <w:tc>
          <w:tcPr>
            <w:tcW w:w="2843" w:type="dxa"/>
            <w:gridSpan w:val="3"/>
            <w:vAlign w:val="center"/>
          </w:tcPr>
          <w:p w14:paraId="1F66CB91" w14:textId="77777777" w:rsidR="00921DCA" w:rsidRPr="00043541" w:rsidRDefault="00921DCA" w:rsidP="00545189">
            <w:pPr>
              <w:jc w:val="center"/>
              <w:rPr>
                <w:b/>
                <w:lang w:eastAsia="en-US"/>
              </w:rPr>
            </w:pPr>
            <w:r w:rsidRPr="00043541">
              <w:rPr>
                <w:b/>
                <w:lang w:eastAsia="en-US"/>
              </w:rPr>
              <w:t>Sourcing</w:t>
            </w:r>
          </w:p>
        </w:tc>
        <w:tc>
          <w:tcPr>
            <w:tcW w:w="2843" w:type="dxa"/>
            <w:gridSpan w:val="3"/>
            <w:vAlign w:val="center"/>
          </w:tcPr>
          <w:p w14:paraId="459C2C8D" w14:textId="77777777" w:rsidR="00921DCA" w:rsidRPr="00043541" w:rsidRDefault="00921DCA" w:rsidP="00545189">
            <w:pPr>
              <w:jc w:val="center"/>
              <w:rPr>
                <w:b/>
                <w:lang w:eastAsia="en-US"/>
              </w:rPr>
            </w:pPr>
            <w:r w:rsidRPr="00043541">
              <w:rPr>
                <w:b/>
                <w:lang w:eastAsia="en-US"/>
              </w:rPr>
              <w:t>Dairy</w:t>
            </w:r>
          </w:p>
        </w:tc>
      </w:tr>
      <w:tr w:rsidR="00921DCA" w:rsidRPr="00544E49" w14:paraId="281E1671" w14:textId="77777777" w:rsidTr="00545189">
        <w:tc>
          <w:tcPr>
            <w:tcW w:w="1413" w:type="dxa"/>
            <w:vAlign w:val="center"/>
          </w:tcPr>
          <w:p w14:paraId="4BAF7C5F" w14:textId="77777777" w:rsidR="00921DCA" w:rsidRPr="00043541" w:rsidRDefault="00921DCA" w:rsidP="00545189">
            <w:pPr>
              <w:rPr>
                <w:lang w:eastAsia="en-US"/>
              </w:rPr>
            </w:pPr>
          </w:p>
        </w:tc>
        <w:tc>
          <w:tcPr>
            <w:tcW w:w="864" w:type="dxa"/>
            <w:vAlign w:val="center"/>
          </w:tcPr>
          <w:p w14:paraId="264313BE" w14:textId="77777777" w:rsidR="00921DCA" w:rsidRPr="00043541" w:rsidRDefault="00921DCA" w:rsidP="00545189">
            <w:pPr>
              <w:jc w:val="center"/>
              <w:rPr>
                <w:b/>
                <w:lang w:eastAsia="en-US"/>
              </w:rPr>
            </w:pPr>
            <w:r w:rsidRPr="00043541">
              <w:rPr>
                <w:b/>
                <w:lang w:eastAsia="en-US"/>
              </w:rPr>
              <w:t>2020</w:t>
            </w:r>
          </w:p>
        </w:tc>
        <w:tc>
          <w:tcPr>
            <w:tcW w:w="948" w:type="dxa"/>
            <w:vAlign w:val="center"/>
          </w:tcPr>
          <w:p w14:paraId="76592195" w14:textId="77777777" w:rsidR="00921DCA" w:rsidRPr="00043541" w:rsidRDefault="00921DCA" w:rsidP="00545189">
            <w:pPr>
              <w:jc w:val="center"/>
              <w:rPr>
                <w:lang w:eastAsia="en-US"/>
              </w:rPr>
            </w:pPr>
            <w:r w:rsidRPr="00043541">
              <w:rPr>
                <w:lang w:eastAsia="en-US"/>
              </w:rPr>
              <w:t>2019</w:t>
            </w:r>
          </w:p>
        </w:tc>
        <w:tc>
          <w:tcPr>
            <w:tcW w:w="947" w:type="dxa"/>
            <w:vAlign w:val="center"/>
          </w:tcPr>
          <w:p w14:paraId="546A4EDC" w14:textId="77777777" w:rsidR="00921DCA" w:rsidRPr="00043541" w:rsidRDefault="00921DCA" w:rsidP="00545189">
            <w:pPr>
              <w:jc w:val="center"/>
              <w:rPr>
                <w:lang w:eastAsia="en-US"/>
              </w:rPr>
            </w:pPr>
            <w:r w:rsidRPr="00043541">
              <w:rPr>
                <w:lang w:eastAsia="en-US"/>
              </w:rPr>
              <w:t>% Growth</w:t>
            </w:r>
          </w:p>
        </w:tc>
        <w:tc>
          <w:tcPr>
            <w:tcW w:w="948" w:type="dxa"/>
            <w:vAlign w:val="center"/>
          </w:tcPr>
          <w:p w14:paraId="0D601FF9" w14:textId="77777777" w:rsidR="00921DCA" w:rsidRPr="00043541" w:rsidRDefault="00921DCA" w:rsidP="00545189">
            <w:pPr>
              <w:jc w:val="center"/>
              <w:rPr>
                <w:b/>
                <w:lang w:eastAsia="en-US"/>
              </w:rPr>
            </w:pPr>
            <w:r w:rsidRPr="00043541">
              <w:rPr>
                <w:b/>
                <w:lang w:eastAsia="en-US"/>
              </w:rPr>
              <w:t>2020</w:t>
            </w:r>
          </w:p>
        </w:tc>
        <w:tc>
          <w:tcPr>
            <w:tcW w:w="947" w:type="dxa"/>
            <w:vAlign w:val="center"/>
          </w:tcPr>
          <w:p w14:paraId="3BB742F6" w14:textId="77777777" w:rsidR="00921DCA" w:rsidRPr="00043541" w:rsidRDefault="00921DCA" w:rsidP="00545189">
            <w:pPr>
              <w:jc w:val="center"/>
              <w:rPr>
                <w:lang w:eastAsia="en-US"/>
              </w:rPr>
            </w:pPr>
            <w:r w:rsidRPr="00043541">
              <w:rPr>
                <w:lang w:eastAsia="en-US"/>
              </w:rPr>
              <w:t>2019</w:t>
            </w:r>
          </w:p>
        </w:tc>
        <w:tc>
          <w:tcPr>
            <w:tcW w:w="948" w:type="dxa"/>
            <w:vAlign w:val="center"/>
          </w:tcPr>
          <w:p w14:paraId="0090B75B" w14:textId="77777777" w:rsidR="00921DCA" w:rsidRPr="00043541" w:rsidRDefault="00921DCA" w:rsidP="00545189">
            <w:pPr>
              <w:jc w:val="center"/>
              <w:rPr>
                <w:lang w:eastAsia="en-US"/>
              </w:rPr>
            </w:pPr>
            <w:r w:rsidRPr="00043541">
              <w:rPr>
                <w:lang w:eastAsia="en-US"/>
              </w:rPr>
              <w:t>% Growth</w:t>
            </w:r>
          </w:p>
        </w:tc>
        <w:tc>
          <w:tcPr>
            <w:tcW w:w="947" w:type="dxa"/>
            <w:vAlign w:val="center"/>
          </w:tcPr>
          <w:p w14:paraId="4AD6C552" w14:textId="77777777" w:rsidR="00921DCA" w:rsidRPr="00043541" w:rsidRDefault="00921DCA" w:rsidP="00545189">
            <w:pPr>
              <w:jc w:val="center"/>
              <w:rPr>
                <w:b/>
                <w:lang w:eastAsia="en-US"/>
              </w:rPr>
            </w:pPr>
            <w:r w:rsidRPr="00043541">
              <w:rPr>
                <w:b/>
                <w:lang w:eastAsia="en-US"/>
              </w:rPr>
              <w:t>2020</w:t>
            </w:r>
          </w:p>
        </w:tc>
        <w:tc>
          <w:tcPr>
            <w:tcW w:w="948" w:type="dxa"/>
            <w:vAlign w:val="center"/>
          </w:tcPr>
          <w:p w14:paraId="2C5CBB86" w14:textId="77777777" w:rsidR="00921DCA" w:rsidRPr="00043541" w:rsidRDefault="00921DCA" w:rsidP="00545189">
            <w:pPr>
              <w:jc w:val="center"/>
              <w:rPr>
                <w:lang w:eastAsia="en-US"/>
              </w:rPr>
            </w:pPr>
            <w:r w:rsidRPr="00043541">
              <w:rPr>
                <w:lang w:eastAsia="en-US"/>
              </w:rPr>
              <w:t>2019</w:t>
            </w:r>
          </w:p>
        </w:tc>
        <w:tc>
          <w:tcPr>
            <w:tcW w:w="948" w:type="dxa"/>
            <w:vAlign w:val="center"/>
          </w:tcPr>
          <w:p w14:paraId="7C92D5B9" w14:textId="77777777" w:rsidR="00921DCA" w:rsidRPr="00043541" w:rsidRDefault="00921DCA" w:rsidP="00545189">
            <w:pPr>
              <w:jc w:val="center"/>
              <w:rPr>
                <w:lang w:eastAsia="en-US"/>
              </w:rPr>
            </w:pPr>
            <w:r w:rsidRPr="00043541">
              <w:rPr>
                <w:lang w:eastAsia="en-US"/>
              </w:rPr>
              <w:t>% Growth</w:t>
            </w:r>
          </w:p>
        </w:tc>
      </w:tr>
      <w:tr w:rsidR="00921DCA" w:rsidRPr="00544E49" w14:paraId="5A5E484F" w14:textId="77777777" w:rsidTr="00545189">
        <w:tc>
          <w:tcPr>
            <w:tcW w:w="1413" w:type="dxa"/>
            <w:vAlign w:val="center"/>
          </w:tcPr>
          <w:p w14:paraId="254FA6D3" w14:textId="77777777" w:rsidR="00921DCA" w:rsidRPr="00043541" w:rsidRDefault="00921DCA" w:rsidP="00545189">
            <w:pPr>
              <w:rPr>
                <w:lang w:eastAsia="en-US"/>
              </w:rPr>
            </w:pPr>
            <w:r w:rsidRPr="00043541">
              <w:rPr>
                <w:lang w:eastAsia="en-US"/>
              </w:rPr>
              <w:t>Revenue</w:t>
            </w:r>
          </w:p>
        </w:tc>
        <w:tc>
          <w:tcPr>
            <w:tcW w:w="864" w:type="dxa"/>
            <w:vAlign w:val="center"/>
          </w:tcPr>
          <w:p w14:paraId="7BBFA1D9" w14:textId="77777777" w:rsidR="00921DCA" w:rsidRPr="00043541" w:rsidRDefault="00921DCA" w:rsidP="00545189">
            <w:pPr>
              <w:jc w:val="center"/>
              <w:rPr>
                <w:b/>
                <w:lang w:eastAsia="en-US"/>
              </w:rPr>
            </w:pPr>
            <w:r>
              <w:rPr>
                <w:b/>
                <w:lang w:eastAsia="en-US"/>
              </w:rPr>
              <w:t>14.6</w:t>
            </w:r>
          </w:p>
        </w:tc>
        <w:tc>
          <w:tcPr>
            <w:tcW w:w="948" w:type="dxa"/>
            <w:vAlign w:val="center"/>
          </w:tcPr>
          <w:p w14:paraId="01B100B1" w14:textId="77777777" w:rsidR="00921DCA" w:rsidRPr="00043541" w:rsidRDefault="00921DCA" w:rsidP="00545189">
            <w:pPr>
              <w:jc w:val="center"/>
              <w:rPr>
                <w:lang w:eastAsia="en-US"/>
              </w:rPr>
            </w:pPr>
            <w:r w:rsidRPr="00043541">
              <w:rPr>
                <w:lang w:eastAsia="en-US"/>
              </w:rPr>
              <w:t>15.1</w:t>
            </w:r>
          </w:p>
        </w:tc>
        <w:tc>
          <w:tcPr>
            <w:tcW w:w="947" w:type="dxa"/>
            <w:vAlign w:val="center"/>
          </w:tcPr>
          <w:p w14:paraId="7E742757" w14:textId="77777777" w:rsidR="00921DCA" w:rsidRPr="00043541" w:rsidRDefault="00921DCA" w:rsidP="00545189">
            <w:pPr>
              <w:jc w:val="center"/>
              <w:rPr>
                <w:lang w:eastAsia="en-US"/>
              </w:rPr>
            </w:pPr>
            <w:r>
              <w:rPr>
                <w:lang w:eastAsia="en-US"/>
              </w:rPr>
              <w:t>(3.3%)</w:t>
            </w:r>
          </w:p>
        </w:tc>
        <w:tc>
          <w:tcPr>
            <w:tcW w:w="948" w:type="dxa"/>
            <w:vAlign w:val="center"/>
          </w:tcPr>
          <w:p w14:paraId="491638C8" w14:textId="77777777" w:rsidR="00921DCA" w:rsidRPr="00043541" w:rsidRDefault="00921DCA" w:rsidP="00545189">
            <w:pPr>
              <w:jc w:val="center"/>
              <w:rPr>
                <w:b/>
                <w:lang w:eastAsia="en-US"/>
              </w:rPr>
            </w:pPr>
            <w:r>
              <w:rPr>
                <w:b/>
                <w:lang w:eastAsia="en-US"/>
              </w:rPr>
              <w:t>17.8</w:t>
            </w:r>
          </w:p>
        </w:tc>
        <w:tc>
          <w:tcPr>
            <w:tcW w:w="947" w:type="dxa"/>
            <w:vAlign w:val="center"/>
          </w:tcPr>
          <w:p w14:paraId="748D2B18" w14:textId="77777777" w:rsidR="00921DCA" w:rsidRPr="00043541" w:rsidRDefault="00921DCA" w:rsidP="00545189">
            <w:pPr>
              <w:jc w:val="center"/>
              <w:rPr>
                <w:lang w:eastAsia="en-US"/>
              </w:rPr>
            </w:pPr>
            <w:r>
              <w:rPr>
                <w:lang w:eastAsia="en-US"/>
              </w:rPr>
              <w:t>18.2</w:t>
            </w:r>
          </w:p>
        </w:tc>
        <w:tc>
          <w:tcPr>
            <w:tcW w:w="948" w:type="dxa"/>
            <w:vAlign w:val="center"/>
          </w:tcPr>
          <w:p w14:paraId="66BB1AC6" w14:textId="77777777" w:rsidR="00921DCA" w:rsidRPr="00043541" w:rsidRDefault="00921DCA" w:rsidP="00545189">
            <w:pPr>
              <w:jc w:val="center"/>
              <w:rPr>
                <w:lang w:eastAsia="en-US"/>
              </w:rPr>
            </w:pPr>
            <w:r w:rsidRPr="00043541">
              <w:rPr>
                <w:lang w:eastAsia="en-US"/>
              </w:rPr>
              <w:t>(</w:t>
            </w:r>
            <w:r>
              <w:rPr>
                <w:lang w:eastAsia="en-US"/>
              </w:rPr>
              <w:t>2.2%</w:t>
            </w:r>
            <w:r w:rsidRPr="00043541">
              <w:rPr>
                <w:lang w:eastAsia="en-US"/>
              </w:rPr>
              <w:t>)</w:t>
            </w:r>
          </w:p>
        </w:tc>
        <w:tc>
          <w:tcPr>
            <w:tcW w:w="947" w:type="dxa"/>
            <w:vAlign w:val="center"/>
          </w:tcPr>
          <w:p w14:paraId="32FEFCDD" w14:textId="77777777" w:rsidR="00921DCA" w:rsidRPr="00043541" w:rsidRDefault="00921DCA" w:rsidP="00545189">
            <w:pPr>
              <w:jc w:val="center"/>
              <w:rPr>
                <w:b/>
                <w:lang w:eastAsia="en-US"/>
              </w:rPr>
            </w:pPr>
            <w:r>
              <w:rPr>
                <w:b/>
                <w:lang w:eastAsia="en-US"/>
              </w:rPr>
              <w:t>1.0</w:t>
            </w:r>
          </w:p>
        </w:tc>
        <w:tc>
          <w:tcPr>
            <w:tcW w:w="948" w:type="dxa"/>
            <w:vAlign w:val="center"/>
          </w:tcPr>
          <w:p w14:paraId="7B378971" w14:textId="77777777" w:rsidR="00921DCA" w:rsidRPr="00043541" w:rsidRDefault="00921DCA" w:rsidP="00545189">
            <w:pPr>
              <w:jc w:val="center"/>
              <w:rPr>
                <w:lang w:eastAsia="en-US"/>
              </w:rPr>
            </w:pPr>
            <w:r w:rsidRPr="00043541">
              <w:rPr>
                <w:lang w:eastAsia="en-US"/>
              </w:rPr>
              <w:t>0.9</w:t>
            </w:r>
          </w:p>
        </w:tc>
        <w:tc>
          <w:tcPr>
            <w:tcW w:w="948" w:type="dxa"/>
            <w:vAlign w:val="center"/>
          </w:tcPr>
          <w:p w14:paraId="1CA0A81E" w14:textId="77777777" w:rsidR="00921DCA" w:rsidRPr="00043541" w:rsidRDefault="00921DCA" w:rsidP="00545189">
            <w:pPr>
              <w:jc w:val="center"/>
              <w:rPr>
                <w:lang w:eastAsia="en-US"/>
              </w:rPr>
            </w:pPr>
            <w:r>
              <w:rPr>
                <w:lang w:eastAsia="en-US"/>
              </w:rPr>
              <w:t>11</w:t>
            </w:r>
            <w:r w:rsidRPr="00043541">
              <w:rPr>
                <w:lang w:eastAsia="en-US"/>
              </w:rPr>
              <w:t>%</w:t>
            </w:r>
          </w:p>
        </w:tc>
      </w:tr>
      <w:tr w:rsidR="00921DCA" w:rsidRPr="00544E49" w14:paraId="6E6DB1F7" w14:textId="77777777" w:rsidTr="00545189">
        <w:tc>
          <w:tcPr>
            <w:tcW w:w="1413" w:type="dxa"/>
            <w:vAlign w:val="center"/>
          </w:tcPr>
          <w:p w14:paraId="6E08EE7D" w14:textId="77777777" w:rsidR="00921DCA" w:rsidRPr="00043541" w:rsidRDefault="00921DCA" w:rsidP="00545189">
            <w:pPr>
              <w:rPr>
                <w:lang w:eastAsia="en-US"/>
              </w:rPr>
            </w:pPr>
            <w:r w:rsidRPr="00043541">
              <w:rPr>
                <w:lang w:eastAsia="en-US"/>
              </w:rPr>
              <w:t>EBITDA</w:t>
            </w:r>
          </w:p>
        </w:tc>
        <w:tc>
          <w:tcPr>
            <w:tcW w:w="864" w:type="dxa"/>
            <w:vAlign w:val="center"/>
          </w:tcPr>
          <w:p w14:paraId="67B231E9" w14:textId="77777777" w:rsidR="00921DCA" w:rsidRPr="00043541" w:rsidRDefault="00921DCA" w:rsidP="00545189">
            <w:pPr>
              <w:jc w:val="center"/>
              <w:rPr>
                <w:b/>
                <w:lang w:eastAsia="en-US"/>
              </w:rPr>
            </w:pPr>
            <w:r>
              <w:rPr>
                <w:b/>
                <w:lang w:eastAsia="en-US"/>
              </w:rPr>
              <w:t>4.6</w:t>
            </w:r>
          </w:p>
        </w:tc>
        <w:tc>
          <w:tcPr>
            <w:tcW w:w="948" w:type="dxa"/>
            <w:vAlign w:val="center"/>
          </w:tcPr>
          <w:p w14:paraId="3A31A544" w14:textId="77777777" w:rsidR="00921DCA" w:rsidRPr="00043541" w:rsidRDefault="00921DCA" w:rsidP="00545189">
            <w:pPr>
              <w:jc w:val="center"/>
              <w:rPr>
                <w:lang w:eastAsia="en-US"/>
              </w:rPr>
            </w:pPr>
            <w:r w:rsidRPr="00043541">
              <w:rPr>
                <w:lang w:eastAsia="en-US"/>
              </w:rPr>
              <w:t>4.7</w:t>
            </w:r>
          </w:p>
        </w:tc>
        <w:tc>
          <w:tcPr>
            <w:tcW w:w="947" w:type="dxa"/>
            <w:vAlign w:val="center"/>
          </w:tcPr>
          <w:p w14:paraId="1D9DF194" w14:textId="77777777" w:rsidR="00921DCA" w:rsidRPr="00043541" w:rsidRDefault="00921DCA" w:rsidP="00545189">
            <w:pPr>
              <w:jc w:val="center"/>
              <w:rPr>
                <w:lang w:eastAsia="en-US"/>
              </w:rPr>
            </w:pPr>
            <w:r>
              <w:rPr>
                <w:lang w:eastAsia="en-US"/>
              </w:rPr>
              <w:t>(2.1%)</w:t>
            </w:r>
          </w:p>
        </w:tc>
        <w:tc>
          <w:tcPr>
            <w:tcW w:w="948" w:type="dxa"/>
            <w:vAlign w:val="center"/>
          </w:tcPr>
          <w:p w14:paraId="4F49865E" w14:textId="77777777" w:rsidR="00921DCA" w:rsidRPr="00043541" w:rsidRDefault="00921DCA" w:rsidP="00545189">
            <w:pPr>
              <w:jc w:val="center"/>
              <w:rPr>
                <w:b/>
                <w:lang w:eastAsia="en-US"/>
              </w:rPr>
            </w:pPr>
            <w:r w:rsidRPr="00043541">
              <w:rPr>
                <w:b/>
                <w:lang w:eastAsia="en-US"/>
              </w:rPr>
              <w:t>0.</w:t>
            </w:r>
            <w:r>
              <w:rPr>
                <w:b/>
                <w:lang w:eastAsia="en-US"/>
              </w:rPr>
              <w:t>3</w:t>
            </w:r>
          </w:p>
        </w:tc>
        <w:tc>
          <w:tcPr>
            <w:tcW w:w="947" w:type="dxa"/>
            <w:vAlign w:val="center"/>
          </w:tcPr>
          <w:p w14:paraId="52B4A88D" w14:textId="77777777" w:rsidR="00921DCA" w:rsidRPr="00043541" w:rsidRDefault="00921DCA" w:rsidP="00545189">
            <w:pPr>
              <w:jc w:val="center"/>
              <w:rPr>
                <w:lang w:eastAsia="en-US"/>
              </w:rPr>
            </w:pPr>
            <w:r w:rsidRPr="00043541">
              <w:rPr>
                <w:lang w:eastAsia="en-US"/>
              </w:rPr>
              <w:t>0.</w:t>
            </w:r>
            <w:r>
              <w:rPr>
                <w:lang w:eastAsia="en-US"/>
              </w:rPr>
              <w:t>4</w:t>
            </w:r>
          </w:p>
        </w:tc>
        <w:tc>
          <w:tcPr>
            <w:tcW w:w="948" w:type="dxa"/>
            <w:vAlign w:val="center"/>
          </w:tcPr>
          <w:p w14:paraId="77B31258" w14:textId="77777777" w:rsidR="00921DCA" w:rsidRPr="00043541" w:rsidRDefault="00921DCA" w:rsidP="00545189">
            <w:pPr>
              <w:jc w:val="center"/>
              <w:rPr>
                <w:lang w:eastAsia="en-US"/>
              </w:rPr>
            </w:pPr>
            <w:r w:rsidRPr="00043541">
              <w:rPr>
                <w:lang w:eastAsia="en-US"/>
              </w:rPr>
              <w:t>(</w:t>
            </w:r>
            <w:r>
              <w:rPr>
                <w:lang w:eastAsia="en-US"/>
              </w:rPr>
              <w:t>25%</w:t>
            </w:r>
            <w:r w:rsidRPr="00043541">
              <w:rPr>
                <w:lang w:eastAsia="en-US"/>
              </w:rPr>
              <w:t>)</w:t>
            </w:r>
          </w:p>
        </w:tc>
        <w:tc>
          <w:tcPr>
            <w:tcW w:w="947" w:type="dxa"/>
            <w:vAlign w:val="center"/>
          </w:tcPr>
          <w:p w14:paraId="2BD3B41A" w14:textId="77777777" w:rsidR="00921DCA" w:rsidRPr="00043541" w:rsidRDefault="00921DCA" w:rsidP="00545189">
            <w:pPr>
              <w:jc w:val="center"/>
              <w:rPr>
                <w:b/>
                <w:lang w:eastAsia="en-US"/>
              </w:rPr>
            </w:pPr>
            <w:r w:rsidRPr="00043541">
              <w:rPr>
                <w:b/>
                <w:lang w:eastAsia="en-US"/>
              </w:rPr>
              <w:t>0.0</w:t>
            </w:r>
          </w:p>
        </w:tc>
        <w:tc>
          <w:tcPr>
            <w:tcW w:w="948" w:type="dxa"/>
            <w:vAlign w:val="center"/>
          </w:tcPr>
          <w:p w14:paraId="73B12647" w14:textId="77777777" w:rsidR="00921DCA" w:rsidRPr="00043541" w:rsidRDefault="00921DCA" w:rsidP="00545189">
            <w:pPr>
              <w:jc w:val="center"/>
              <w:rPr>
                <w:lang w:eastAsia="en-US"/>
              </w:rPr>
            </w:pPr>
            <w:r w:rsidRPr="00043541">
              <w:rPr>
                <w:lang w:eastAsia="en-US"/>
              </w:rPr>
              <w:t>0.0</w:t>
            </w:r>
          </w:p>
        </w:tc>
        <w:tc>
          <w:tcPr>
            <w:tcW w:w="948" w:type="dxa"/>
            <w:vAlign w:val="center"/>
          </w:tcPr>
          <w:p w14:paraId="6E167404" w14:textId="5B5350A8" w:rsidR="00921DCA" w:rsidRPr="00043541" w:rsidRDefault="0025189B" w:rsidP="00545189">
            <w:pPr>
              <w:jc w:val="center"/>
              <w:rPr>
                <w:lang w:eastAsia="en-US"/>
              </w:rPr>
            </w:pPr>
            <w:r>
              <w:rPr>
                <w:lang w:eastAsia="en-US"/>
              </w:rPr>
              <w:t>0%</w:t>
            </w:r>
          </w:p>
        </w:tc>
      </w:tr>
      <w:tr w:rsidR="00921DCA" w:rsidRPr="00544E49" w14:paraId="35BA66B1" w14:textId="77777777" w:rsidTr="00545189">
        <w:tc>
          <w:tcPr>
            <w:tcW w:w="1413" w:type="dxa"/>
            <w:vAlign w:val="center"/>
          </w:tcPr>
          <w:p w14:paraId="01513BF5" w14:textId="77777777" w:rsidR="00921DCA" w:rsidRPr="00043541" w:rsidRDefault="00921DCA" w:rsidP="00545189">
            <w:pPr>
              <w:rPr>
                <w:lang w:eastAsia="en-US"/>
              </w:rPr>
            </w:pPr>
            <w:r w:rsidRPr="00043541">
              <w:rPr>
                <w:lang w:eastAsia="en-US"/>
              </w:rPr>
              <w:t>Operating Profit</w:t>
            </w:r>
          </w:p>
        </w:tc>
        <w:tc>
          <w:tcPr>
            <w:tcW w:w="864" w:type="dxa"/>
            <w:vAlign w:val="center"/>
          </w:tcPr>
          <w:p w14:paraId="2475D6C9" w14:textId="77777777" w:rsidR="00921DCA" w:rsidRPr="00043541" w:rsidRDefault="00921DCA" w:rsidP="00545189">
            <w:pPr>
              <w:jc w:val="center"/>
              <w:rPr>
                <w:b/>
                <w:lang w:eastAsia="en-US"/>
              </w:rPr>
            </w:pPr>
            <w:r w:rsidRPr="00043541">
              <w:rPr>
                <w:b/>
                <w:lang w:eastAsia="en-US"/>
              </w:rPr>
              <w:t>3</w:t>
            </w:r>
            <w:r>
              <w:rPr>
                <w:b/>
                <w:lang w:eastAsia="en-US"/>
              </w:rPr>
              <w:t>.0</w:t>
            </w:r>
          </w:p>
        </w:tc>
        <w:tc>
          <w:tcPr>
            <w:tcW w:w="948" w:type="dxa"/>
            <w:vAlign w:val="center"/>
          </w:tcPr>
          <w:p w14:paraId="57BD9A03" w14:textId="77777777" w:rsidR="00921DCA" w:rsidRPr="00043541" w:rsidRDefault="00921DCA" w:rsidP="00545189">
            <w:pPr>
              <w:jc w:val="center"/>
              <w:rPr>
                <w:lang w:eastAsia="en-US"/>
              </w:rPr>
            </w:pPr>
            <w:r w:rsidRPr="00043541">
              <w:rPr>
                <w:lang w:eastAsia="en-US"/>
              </w:rPr>
              <w:t>3.3</w:t>
            </w:r>
          </w:p>
        </w:tc>
        <w:tc>
          <w:tcPr>
            <w:tcW w:w="947" w:type="dxa"/>
            <w:vAlign w:val="center"/>
          </w:tcPr>
          <w:p w14:paraId="1FCA44E3" w14:textId="77777777" w:rsidR="00921DCA" w:rsidRPr="00043541" w:rsidRDefault="00921DCA" w:rsidP="00545189">
            <w:pPr>
              <w:jc w:val="center"/>
              <w:rPr>
                <w:lang w:eastAsia="en-US"/>
              </w:rPr>
            </w:pPr>
            <w:r>
              <w:rPr>
                <w:lang w:eastAsia="en-US"/>
              </w:rPr>
              <w:t>(9.1%)</w:t>
            </w:r>
          </w:p>
        </w:tc>
        <w:tc>
          <w:tcPr>
            <w:tcW w:w="948" w:type="dxa"/>
            <w:vAlign w:val="center"/>
          </w:tcPr>
          <w:p w14:paraId="2DC187E4" w14:textId="77777777" w:rsidR="00921DCA" w:rsidRPr="00043541" w:rsidRDefault="00921DCA" w:rsidP="00545189">
            <w:pPr>
              <w:jc w:val="center"/>
              <w:rPr>
                <w:b/>
                <w:lang w:eastAsia="en-US"/>
              </w:rPr>
            </w:pPr>
            <w:r w:rsidRPr="00043541">
              <w:rPr>
                <w:b/>
                <w:lang w:eastAsia="en-US"/>
              </w:rPr>
              <w:t>0.</w:t>
            </w:r>
            <w:r>
              <w:rPr>
                <w:b/>
                <w:lang w:eastAsia="en-US"/>
              </w:rPr>
              <w:t>3</w:t>
            </w:r>
          </w:p>
        </w:tc>
        <w:tc>
          <w:tcPr>
            <w:tcW w:w="947" w:type="dxa"/>
            <w:vAlign w:val="center"/>
          </w:tcPr>
          <w:p w14:paraId="7486FDFB" w14:textId="77777777" w:rsidR="00921DCA" w:rsidRPr="00043541" w:rsidRDefault="00921DCA" w:rsidP="00545189">
            <w:pPr>
              <w:jc w:val="center"/>
              <w:rPr>
                <w:lang w:eastAsia="en-US"/>
              </w:rPr>
            </w:pPr>
            <w:r w:rsidRPr="00043541">
              <w:rPr>
                <w:lang w:eastAsia="en-US"/>
              </w:rPr>
              <w:t>0.4</w:t>
            </w:r>
          </w:p>
        </w:tc>
        <w:tc>
          <w:tcPr>
            <w:tcW w:w="948" w:type="dxa"/>
            <w:vAlign w:val="center"/>
          </w:tcPr>
          <w:p w14:paraId="79CA8350" w14:textId="77777777" w:rsidR="00921DCA" w:rsidRPr="00043541" w:rsidRDefault="00921DCA" w:rsidP="00545189">
            <w:pPr>
              <w:jc w:val="center"/>
              <w:rPr>
                <w:lang w:eastAsia="en-US"/>
              </w:rPr>
            </w:pPr>
            <w:r w:rsidRPr="00043541">
              <w:rPr>
                <w:lang w:eastAsia="en-US"/>
              </w:rPr>
              <w:t>(</w:t>
            </w:r>
            <w:r>
              <w:rPr>
                <w:lang w:eastAsia="en-US"/>
              </w:rPr>
              <w:t>25</w:t>
            </w:r>
            <w:r w:rsidRPr="00043541">
              <w:rPr>
                <w:lang w:eastAsia="en-US"/>
              </w:rPr>
              <w:t>%)</w:t>
            </w:r>
          </w:p>
        </w:tc>
        <w:tc>
          <w:tcPr>
            <w:tcW w:w="947" w:type="dxa"/>
            <w:vAlign w:val="center"/>
          </w:tcPr>
          <w:p w14:paraId="691C7B16" w14:textId="77777777" w:rsidR="00921DCA" w:rsidRPr="00043541" w:rsidRDefault="00921DCA" w:rsidP="00545189">
            <w:pPr>
              <w:jc w:val="center"/>
              <w:rPr>
                <w:b/>
                <w:lang w:eastAsia="en-US"/>
              </w:rPr>
            </w:pPr>
            <w:r w:rsidRPr="00043541">
              <w:rPr>
                <w:b/>
                <w:lang w:eastAsia="en-US"/>
              </w:rPr>
              <w:t>(0.1)</w:t>
            </w:r>
          </w:p>
        </w:tc>
        <w:tc>
          <w:tcPr>
            <w:tcW w:w="948" w:type="dxa"/>
            <w:vAlign w:val="center"/>
          </w:tcPr>
          <w:p w14:paraId="04AAF1E8" w14:textId="77777777" w:rsidR="00921DCA" w:rsidRPr="00043541" w:rsidRDefault="00921DCA" w:rsidP="00545189">
            <w:pPr>
              <w:jc w:val="center"/>
              <w:rPr>
                <w:lang w:eastAsia="en-US"/>
              </w:rPr>
            </w:pPr>
            <w:r w:rsidRPr="00043541">
              <w:rPr>
                <w:lang w:eastAsia="en-US"/>
              </w:rPr>
              <w:t>(0.1)</w:t>
            </w:r>
          </w:p>
        </w:tc>
        <w:tc>
          <w:tcPr>
            <w:tcW w:w="948" w:type="dxa"/>
            <w:vAlign w:val="center"/>
          </w:tcPr>
          <w:p w14:paraId="2D0F0EE0" w14:textId="1306C259" w:rsidR="00921DCA" w:rsidRPr="00043541" w:rsidRDefault="0025189B" w:rsidP="00545189">
            <w:pPr>
              <w:jc w:val="center"/>
              <w:rPr>
                <w:lang w:eastAsia="en-US"/>
              </w:rPr>
            </w:pPr>
            <w:r>
              <w:rPr>
                <w:lang w:eastAsia="en-US"/>
              </w:rPr>
              <w:t>0%</w:t>
            </w:r>
          </w:p>
        </w:tc>
      </w:tr>
      <w:tr w:rsidR="00921DCA" w:rsidRPr="00544E49" w14:paraId="39177CC0" w14:textId="77777777" w:rsidTr="00545189">
        <w:tc>
          <w:tcPr>
            <w:tcW w:w="1413" w:type="dxa"/>
            <w:vAlign w:val="center"/>
          </w:tcPr>
          <w:p w14:paraId="4B025A6F" w14:textId="77777777" w:rsidR="00921DCA" w:rsidRPr="00043541" w:rsidRDefault="00921DCA" w:rsidP="00545189">
            <w:pPr>
              <w:rPr>
                <w:lang w:eastAsia="en-US"/>
              </w:rPr>
            </w:pPr>
            <w:r w:rsidRPr="00043541">
              <w:rPr>
                <w:lang w:eastAsia="en-US"/>
              </w:rPr>
              <w:t>Operating Margin</w:t>
            </w:r>
          </w:p>
        </w:tc>
        <w:tc>
          <w:tcPr>
            <w:tcW w:w="864" w:type="dxa"/>
            <w:vAlign w:val="center"/>
          </w:tcPr>
          <w:p w14:paraId="34542EC4" w14:textId="77777777" w:rsidR="00921DCA" w:rsidRPr="00043541" w:rsidRDefault="00921DCA" w:rsidP="00545189">
            <w:pPr>
              <w:jc w:val="center"/>
              <w:rPr>
                <w:b/>
                <w:lang w:eastAsia="en-US"/>
              </w:rPr>
            </w:pPr>
            <w:r>
              <w:rPr>
                <w:b/>
                <w:lang w:eastAsia="en-US"/>
              </w:rPr>
              <w:t>20.5%</w:t>
            </w:r>
          </w:p>
        </w:tc>
        <w:tc>
          <w:tcPr>
            <w:tcW w:w="948" w:type="dxa"/>
            <w:vAlign w:val="center"/>
          </w:tcPr>
          <w:p w14:paraId="1C92D1E6" w14:textId="77777777" w:rsidR="00921DCA" w:rsidRPr="00043541" w:rsidRDefault="00921DCA" w:rsidP="00545189">
            <w:pPr>
              <w:jc w:val="center"/>
              <w:rPr>
                <w:lang w:eastAsia="en-US"/>
              </w:rPr>
            </w:pPr>
            <w:r w:rsidRPr="00043541">
              <w:rPr>
                <w:lang w:eastAsia="en-US"/>
              </w:rPr>
              <w:t>21.9%</w:t>
            </w:r>
          </w:p>
        </w:tc>
        <w:tc>
          <w:tcPr>
            <w:tcW w:w="947" w:type="dxa"/>
            <w:vAlign w:val="center"/>
          </w:tcPr>
          <w:p w14:paraId="478B1CFA" w14:textId="77777777" w:rsidR="00921DCA" w:rsidRPr="00043541" w:rsidRDefault="00921DCA" w:rsidP="00545189">
            <w:pPr>
              <w:jc w:val="center"/>
              <w:rPr>
                <w:lang w:eastAsia="en-US"/>
              </w:rPr>
            </w:pPr>
          </w:p>
        </w:tc>
        <w:tc>
          <w:tcPr>
            <w:tcW w:w="948" w:type="dxa"/>
            <w:vAlign w:val="center"/>
          </w:tcPr>
          <w:p w14:paraId="3EE3740B" w14:textId="77777777" w:rsidR="00921DCA" w:rsidRPr="00043541" w:rsidRDefault="00921DCA" w:rsidP="00545189">
            <w:pPr>
              <w:jc w:val="center"/>
              <w:rPr>
                <w:b/>
                <w:lang w:eastAsia="en-US"/>
              </w:rPr>
            </w:pPr>
            <w:r w:rsidRPr="00043541">
              <w:rPr>
                <w:b/>
                <w:lang w:eastAsia="en-US"/>
              </w:rPr>
              <w:t>1</w:t>
            </w:r>
            <w:r>
              <w:rPr>
                <w:b/>
                <w:lang w:eastAsia="en-US"/>
              </w:rPr>
              <w:t>.8</w:t>
            </w:r>
            <w:r w:rsidRPr="00043541">
              <w:rPr>
                <w:b/>
                <w:lang w:eastAsia="en-US"/>
              </w:rPr>
              <w:t>%</w:t>
            </w:r>
          </w:p>
        </w:tc>
        <w:tc>
          <w:tcPr>
            <w:tcW w:w="947" w:type="dxa"/>
            <w:vAlign w:val="center"/>
          </w:tcPr>
          <w:p w14:paraId="36E79FF1" w14:textId="77777777" w:rsidR="00921DCA" w:rsidRPr="00043541" w:rsidRDefault="00921DCA" w:rsidP="00545189">
            <w:pPr>
              <w:jc w:val="center"/>
              <w:rPr>
                <w:lang w:eastAsia="en-US"/>
              </w:rPr>
            </w:pPr>
            <w:r>
              <w:rPr>
                <w:lang w:eastAsia="en-US"/>
              </w:rPr>
              <w:t>2.2</w:t>
            </w:r>
            <w:r w:rsidRPr="00043541">
              <w:rPr>
                <w:lang w:eastAsia="en-US"/>
              </w:rPr>
              <w:t>%</w:t>
            </w:r>
          </w:p>
        </w:tc>
        <w:tc>
          <w:tcPr>
            <w:tcW w:w="948" w:type="dxa"/>
            <w:vAlign w:val="center"/>
          </w:tcPr>
          <w:p w14:paraId="6EEFA123" w14:textId="77777777" w:rsidR="00921DCA" w:rsidRPr="00043541" w:rsidRDefault="00921DCA" w:rsidP="00545189">
            <w:pPr>
              <w:jc w:val="center"/>
              <w:rPr>
                <w:lang w:eastAsia="en-US"/>
              </w:rPr>
            </w:pPr>
          </w:p>
        </w:tc>
        <w:tc>
          <w:tcPr>
            <w:tcW w:w="947" w:type="dxa"/>
            <w:vAlign w:val="center"/>
          </w:tcPr>
          <w:p w14:paraId="7A05AB94" w14:textId="77777777" w:rsidR="00921DCA" w:rsidRPr="00043541" w:rsidRDefault="00921DCA" w:rsidP="00545189">
            <w:pPr>
              <w:jc w:val="center"/>
              <w:rPr>
                <w:b/>
                <w:lang w:eastAsia="en-US"/>
              </w:rPr>
            </w:pPr>
            <w:r w:rsidRPr="00043541">
              <w:rPr>
                <w:b/>
                <w:lang w:eastAsia="en-US"/>
              </w:rPr>
              <w:t>(1</w:t>
            </w:r>
            <w:r>
              <w:rPr>
                <w:b/>
                <w:lang w:eastAsia="en-US"/>
              </w:rPr>
              <w:t>0</w:t>
            </w:r>
            <w:r w:rsidRPr="00043541">
              <w:rPr>
                <w:b/>
                <w:lang w:eastAsia="en-US"/>
              </w:rPr>
              <w:t>%)</w:t>
            </w:r>
          </w:p>
        </w:tc>
        <w:tc>
          <w:tcPr>
            <w:tcW w:w="948" w:type="dxa"/>
            <w:vAlign w:val="center"/>
          </w:tcPr>
          <w:p w14:paraId="46945450" w14:textId="77777777" w:rsidR="00921DCA" w:rsidRPr="00043541" w:rsidRDefault="00921DCA" w:rsidP="00545189">
            <w:pPr>
              <w:jc w:val="center"/>
              <w:rPr>
                <w:lang w:eastAsia="en-US"/>
              </w:rPr>
            </w:pPr>
            <w:r w:rsidRPr="00043541">
              <w:rPr>
                <w:lang w:eastAsia="en-US"/>
              </w:rPr>
              <w:t>(11%)</w:t>
            </w:r>
          </w:p>
        </w:tc>
        <w:tc>
          <w:tcPr>
            <w:tcW w:w="948" w:type="dxa"/>
            <w:vAlign w:val="center"/>
          </w:tcPr>
          <w:p w14:paraId="43734B2B" w14:textId="77777777" w:rsidR="00921DCA" w:rsidRPr="00043541" w:rsidRDefault="00921DCA" w:rsidP="00545189">
            <w:pPr>
              <w:jc w:val="center"/>
              <w:rPr>
                <w:lang w:eastAsia="en-US"/>
              </w:rPr>
            </w:pPr>
          </w:p>
        </w:tc>
      </w:tr>
    </w:tbl>
    <w:p w14:paraId="55199A34" w14:textId="77777777" w:rsidR="00921DCA" w:rsidRPr="00544E49" w:rsidRDefault="00921DCA" w:rsidP="00921DCA">
      <w:pPr>
        <w:jc w:val="both"/>
        <w:rPr>
          <w:b/>
          <w:sz w:val="24"/>
          <w:szCs w:val="24"/>
          <w:lang w:eastAsia="en-US"/>
        </w:rPr>
      </w:pPr>
    </w:p>
    <w:p w14:paraId="523DAF88" w14:textId="77777777" w:rsidR="00921DCA" w:rsidRPr="00544E49" w:rsidRDefault="00921DCA" w:rsidP="00921DCA">
      <w:pPr>
        <w:jc w:val="both"/>
        <w:rPr>
          <w:b/>
          <w:sz w:val="24"/>
          <w:szCs w:val="24"/>
          <w:lang w:eastAsia="en-US"/>
        </w:rPr>
      </w:pPr>
    </w:p>
    <w:p w14:paraId="2383CACD" w14:textId="77777777" w:rsidR="00921DCA" w:rsidRPr="00544E49" w:rsidRDefault="00921DCA" w:rsidP="00921DCA">
      <w:pPr>
        <w:overflowPunct/>
        <w:autoSpaceDE/>
        <w:autoSpaceDN/>
        <w:adjustRightInd/>
        <w:textAlignment w:val="auto"/>
        <w:rPr>
          <w:b/>
          <w:sz w:val="24"/>
          <w:szCs w:val="24"/>
          <w:lang w:val="en-US" w:eastAsia="en-US"/>
        </w:rPr>
      </w:pPr>
      <w:r w:rsidRPr="00544E49">
        <w:rPr>
          <w:b/>
          <w:sz w:val="24"/>
          <w:szCs w:val="24"/>
          <w:lang w:val="en-US" w:eastAsia="en-US"/>
        </w:rPr>
        <w:t>Cold Store division</w:t>
      </w:r>
    </w:p>
    <w:p w14:paraId="1207DE83" w14:textId="77777777" w:rsidR="00921DCA" w:rsidRPr="00544E49" w:rsidRDefault="00921DCA" w:rsidP="00921DCA">
      <w:pPr>
        <w:overflowPunct/>
        <w:autoSpaceDE/>
        <w:autoSpaceDN/>
        <w:adjustRightInd/>
        <w:textAlignment w:val="auto"/>
        <w:rPr>
          <w:b/>
          <w:sz w:val="24"/>
          <w:szCs w:val="24"/>
          <w:lang w:val="en-US" w:eastAsia="en-US"/>
        </w:rPr>
      </w:pPr>
    </w:p>
    <w:p w14:paraId="58A4938D" w14:textId="1F51E47B" w:rsidR="0069677A" w:rsidRDefault="00921DCA" w:rsidP="0069677A">
      <w:pPr>
        <w:rPr>
          <w:sz w:val="24"/>
          <w:szCs w:val="24"/>
        </w:rPr>
      </w:pPr>
      <w:r w:rsidRPr="0063684B">
        <w:rPr>
          <w:sz w:val="24"/>
          <w:szCs w:val="24"/>
        </w:rPr>
        <w:t xml:space="preserve">Cold stores, which comprise our largest business activity, saw a modest </w:t>
      </w:r>
      <w:r>
        <w:rPr>
          <w:sz w:val="24"/>
          <w:szCs w:val="24"/>
        </w:rPr>
        <w:t>3.3</w:t>
      </w:r>
      <w:r w:rsidRPr="0063684B">
        <w:rPr>
          <w:sz w:val="24"/>
          <w:szCs w:val="24"/>
        </w:rPr>
        <w:t>% reduction in sales (from Stg£15.</w:t>
      </w:r>
      <w:r>
        <w:rPr>
          <w:sz w:val="24"/>
          <w:szCs w:val="24"/>
        </w:rPr>
        <w:t>1</w:t>
      </w:r>
      <w:r w:rsidRPr="0063684B">
        <w:rPr>
          <w:sz w:val="24"/>
          <w:szCs w:val="24"/>
        </w:rPr>
        <w:t>m to Stg£14.6m), a very c</w:t>
      </w:r>
      <w:r w:rsidR="001C0199">
        <w:rPr>
          <w:sz w:val="24"/>
          <w:szCs w:val="24"/>
        </w:rPr>
        <w:t>reditable performance in a year</w:t>
      </w:r>
      <w:r w:rsidRPr="0063684B">
        <w:rPr>
          <w:sz w:val="24"/>
          <w:szCs w:val="24"/>
        </w:rPr>
        <w:t xml:space="preserve"> which saw </w:t>
      </w:r>
      <w:r w:rsidR="0069677A" w:rsidRPr="0063684B">
        <w:rPr>
          <w:sz w:val="24"/>
          <w:szCs w:val="24"/>
        </w:rPr>
        <w:t xml:space="preserve">some of our end user markets, both Chinese and domestic, closed for a number of months because of the </w:t>
      </w:r>
      <w:r w:rsidR="00C54B29" w:rsidRPr="0063684B">
        <w:rPr>
          <w:sz w:val="24"/>
          <w:szCs w:val="24"/>
        </w:rPr>
        <w:t>Covid 19</w:t>
      </w:r>
      <w:r w:rsidR="00C54B29">
        <w:rPr>
          <w:sz w:val="24"/>
          <w:szCs w:val="24"/>
        </w:rPr>
        <w:t xml:space="preserve"> </w:t>
      </w:r>
      <w:r w:rsidR="0069677A" w:rsidRPr="0063684B">
        <w:rPr>
          <w:sz w:val="24"/>
          <w:szCs w:val="24"/>
        </w:rPr>
        <w:t>Pandemic.</w:t>
      </w:r>
    </w:p>
    <w:p w14:paraId="52EFF85E" w14:textId="0C489C65" w:rsidR="00921DCA" w:rsidRDefault="00921DCA" w:rsidP="00921DCA">
      <w:pPr>
        <w:rPr>
          <w:sz w:val="24"/>
          <w:szCs w:val="24"/>
        </w:rPr>
      </w:pPr>
    </w:p>
    <w:p w14:paraId="778435F5" w14:textId="6EA93943" w:rsidR="00BF6318" w:rsidRPr="004B7841" w:rsidRDefault="00B7276E" w:rsidP="00BF6318">
      <w:pPr>
        <w:pBdr>
          <w:bottom w:val="single" w:sz="8" w:space="5" w:color="000000"/>
        </w:pBdr>
        <w:suppressAutoHyphens/>
        <w:overflowPunct/>
        <w:autoSpaceDE/>
        <w:autoSpaceDN/>
        <w:adjustRightInd/>
        <w:spacing w:line="288" w:lineRule="auto"/>
        <w:textAlignment w:val="center"/>
        <w:rPr>
          <w:b/>
          <w:bCs/>
          <w:caps/>
          <w:color w:val="000000"/>
          <w:sz w:val="30"/>
          <w:szCs w:val="30"/>
          <w:lang w:eastAsia="en-GB"/>
        </w:rPr>
      </w:pPr>
      <w:r>
        <w:rPr>
          <w:b/>
          <w:bCs/>
          <w:caps/>
          <w:color w:val="000000"/>
          <w:sz w:val="30"/>
          <w:szCs w:val="30"/>
          <w:lang w:eastAsia="en-GB"/>
        </w:rPr>
        <w:lastRenderedPageBreak/>
        <w:t>C</w:t>
      </w:r>
      <w:r w:rsidR="00BF6318" w:rsidRPr="004B7841">
        <w:rPr>
          <w:b/>
          <w:bCs/>
          <w:caps/>
          <w:color w:val="000000"/>
          <w:sz w:val="30"/>
          <w:szCs w:val="30"/>
          <w:lang w:eastAsia="en-GB"/>
        </w:rPr>
        <w:t xml:space="preserve">hairman’s Statement </w:t>
      </w:r>
      <w:r w:rsidR="00BF6318" w:rsidRPr="004B7841">
        <w:rPr>
          <w:b/>
          <w:bCs/>
          <w:i/>
          <w:caps/>
          <w:color w:val="000000"/>
          <w:sz w:val="26"/>
          <w:szCs w:val="26"/>
          <w:lang w:eastAsia="en-GB"/>
        </w:rPr>
        <w:t>(Continued)</w:t>
      </w:r>
    </w:p>
    <w:p w14:paraId="2616FB94" w14:textId="77777777" w:rsidR="00BF6318" w:rsidRDefault="00BF6318" w:rsidP="00BF6318">
      <w:pPr>
        <w:overflowPunct/>
        <w:autoSpaceDE/>
        <w:autoSpaceDN/>
        <w:adjustRightInd/>
        <w:jc w:val="both"/>
        <w:textAlignment w:val="auto"/>
        <w:rPr>
          <w:rFonts w:eastAsia="Calibri"/>
          <w:sz w:val="22"/>
          <w:szCs w:val="22"/>
          <w:u w:val="single"/>
          <w:lang w:eastAsia="en-US"/>
        </w:rPr>
      </w:pPr>
    </w:p>
    <w:p w14:paraId="6D470825" w14:textId="77777777" w:rsidR="00B7276E" w:rsidRDefault="00B7276E" w:rsidP="00BF6318">
      <w:pPr>
        <w:overflowPunct/>
        <w:autoSpaceDE/>
        <w:autoSpaceDN/>
        <w:adjustRightInd/>
        <w:textAlignment w:val="auto"/>
        <w:rPr>
          <w:b/>
          <w:sz w:val="24"/>
          <w:szCs w:val="24"/>
          <w:lang w:val="en-US" w:eastAsia="en-US"/>
        </w:rPr>
      </w:pPr>
    </w:p>
    <w:p w14:paraId="63DEC1CD" w14:textId="77777777" w:rsidR="00921DCA" w:rsidRDefault="00921DCA" w:rsidP="00921DCA">
      <w:pPr>
        <w:rPr>
          <w:sz w:val="24"/>
          <w:szCs w:val="24"/>
        </w:rPr>
      </w:pPr>
      <w:r w:rsidRPr="0063684B">
        <w:rPr>
          <w:sz w:val="24"/>
          <w:szCs w:val="24"/>
        </w:rPr>
        <w:t>Pallets receipted, the lifeblood of our business, were down 19%, year on year, while blast freezing volumes were down 8%, year on year. Average stock turn dis</w:t>
      </w:r>
      <w:r>
        <w:rPr>
          <w:sz w:val="24"/>
          <w:szCs w:val="24"/>
        </w:rPr>
        <w:t>-</w:t>
      </w:r>
      <w:r w:rsidRPr="0063684B">
        <w:rPr>
          <w:sz w:val="24"/>
          <w:szCs w:val="24"/>
        </w:rPr>
        <w:t>improved from 6.6</w:t>
      </w:r>
    </w:p>
    <w:p w14:paraId="73BDBDFF" w14:textId="77777777" w:rsidR="00921DCA" w:rsidRDefault="00921DCA" w:rsidP="00921DCA">
      <w:pPr>
        <w:rPr>
          <w:sz w:val="24"/>
          <w:szCs w:val="24"/>
        </w:rPr>
      </w:pPr>
      <w:r w:rsidRPr="0063684B">
        <w:rPr>
          <w:sz w:val="24"/>
          <w:szCs w:val="24"/>
        </w:rPr>
        <w:t>weeks in 201</w:t>
      </w:r>
      <w:r>
        <w:rPr>
          <w:sz w:val="24"/>
          <w:szCs w:val="24"/>
        </w:rPr>
        <w:t>9</w:t>
      </w:r>
      <w:r w:rsidRPr="0063684B">
        <w:rPr>
          <w:sz w:val="24"/>
          <w:szCs w:val="24"/>
        </w:rPr>
        <w:t xml:space="preserve"> to 7.5 weeks in 2020. Average month end occupancy for 2020 was 87%. This compares with average occupancy of 95% in 2019.</w:t>
      </w:r>
    </w:p>
    <w:p w14:paraId="512EC863" w14:textId="77777777" w:rsidR="00921DCA" w:rsidRPr="0063684B" w:rsidRDefault="00921DCA" w:rsidP="00921DCA">
      <w:pPr>
        <w:rPr>
          <w:sz w:val="24"/>
          <w:szCs w:val="24"/>
        </w:rPr>
      </w:pPr>
    </w:p>
    <w:p w14:paraId="0ACA5569" w14:textId="77777777" w:rsidR="00921DCA" w:rsidRDefault="00921DCA" w:rsidP="00921DCA">
      <w:pPr>
        <w:rPr>
          <w:sz w:val="24"/>
          <w:szCs w:val="24"/>
        </w:rPr>
      </w:pPr>
      <w:r w:rsidRPr="0063684B">
        <w:rPr>
          <w:sz w:val="24"/>
          <w:szCs w:val="24"/>
        </w:rPr>
        <w:t>Against that context, divisional profits came in at a robust Stg£</w:t>
      </w:r>
      <w:r>
        <w:rPr>
          <w:sz w:val="24"/>
          <w:szCs w:val="24"/>
        </w:rPr>
        <w:t>3m</w:t>
      </w:r>
      <w:r w:rsidRPr="0063684B">
        <w:rPr>
          <w:sz w:val="24"/>
          <w:szCs w:val="24"/>
        </w:rPr>
        <w:t xml:space="preserve">, a </w:t>
      </w:r>
      <w:r>
        <w:rPr>
          <w:sz w:val="24"/>
          <w:szCs w:val="24"/>
        </w:rPr>
        <w:t>9.1</w:t>
      </w:r>
      <w:r w:rsidRPr="0063684B">
        <w:rPr>
          <w:sz w:val="24"/>
          <w:szCs w:val="24"/>
        </w:rPr>
        <w:t>% decline on the Stg £3.</w:t>
      </w:r>
      <w:r>
        <w:rPr>
          <w:sz w:val="24"/>
          <w:szCs w:val="24"/>
        </w:rPr>
        <w:t>3</w:t>
      </w:r>
      <w:r w:rsidRPr="0063684B">
        <w:rPr>
          <w:sz w:val="24"/>
          <w:szCs w:val="24"/>
        </w:rPr>
        <w:t xml:space="preserve">m in the prior year. Divisional margins stood at </w:t>
      </w:r>
      <w:r>
        <w:rPr>
          <w:sz w:val="24"/>
          <w:szCs w:val="24"/>
        </w:rPr>
        <w:t>20.5</w:t>
      </w:r>
      <w:r w:rsidRPr="0063684B">
        <w:rPr>
          <w:sz w:val="24"/>
          <w:szCs w:val="24"/>
        </w:rPr>
        <w:t xml:space="preserve">% in 2020, </w:t>
      </w:r>
      <w:r>
        <w:rPr>
          <w:sz w:val="24"/>
          <w:szCs w:val="24"/>
        </w:rPr>
        <w:t>140</w:t>
      </w:r>
      <w:r w:rsidRPr="0063684B">
        <w:rPr>
          <w:sz w:val="24"/>
          <w:szCs w:val="24"/>
        </w:rPr>
        <w:t xml:space="preserve"> basis points below the </w:t>
      </w:r>
      <w:r>
        <w:rPr>
          <w:sz w:val="24"/>
          <w:szCs w:val="24"/>
        </w:rPr>
        <w:t>21.9</w:t>
      </w:r>
      <w:r w:rsidRPr="0063684B">
        <w:rPr>
          <w:sz w:val="24"/>
          <w:szCs w:val="24"/>
        </w:rPr>
        <w:t xml:space="preserve">% margin outturn for 2019.  </w:t>
      </w:r>
    </w:p>
    <w:p w14:paraId="0F3B4FA6" w14:textId="77777777" w:rsidR="00921DCA" w:rsidRDefault="00921DCA" w:rsidP="00921DCA">
      <w:pPr>
        <w:rPr>
          <w:sz w:val="24"/>
          <w:szCs w:val="24"/>
        </w:rPr>
      </w:pPr>
    </w:p>
    <w:p w14:paraId="716B571D" w14:textId="28C2D8AC" w:rsidR="00921DCA" w:rsidRDefault="00921DCA" w:rsidP="00921DCA">
      <w:pPr>
        <w:rPr>
          <w:sz w:val="24"/>
          <w:szCs w:val="24"/>
        </w:rPr>
      </w:pPr>
      <w:r w:rsidRPr="0063684B">
        <w:rPr>
          <w:sz w:val="24"/>
          <w:szCs w:val="24"/>
        </w:rPr>
        <w:t xml:space="preserve">The year was characterised by a good if brief start, a decline through to June, with markets bottoming out in July and August </w:t>
      </w:r>
      <w:r w:rsidR="00C132BC">
        <w:rPr>
          <w:sz w:val="24"/>
          <w:szCs w:val="24"/>
        </w:rPr>
        <w:t xml:space="preserve">before </w:t>
      </w:r>
      <w:r w:rsidRPr="0063684B">
        <w:rPr>
          <w:sz w:val="24"/>
          <w:szCs w:val="24"/>
        </w:rPr>
        <w:t xml:space="preserve">strongly recovering since then. The overall result reflects prompt and significant cost control, together with continued pricing initiatives in place around sales mix and tiered pricing. </w:t>
      </w:r>
    </w:p>
    <w:p w14:paraId="577B7974" w14:textId="36EF31A8" w:rsidR="00F7531A" w:rsidRDefault="00F7531A" w:rsidP="00921DCA">
      <w:pPr>
        <w:rPr>
          <w:sz w:val="24"/>
          <w:szCs w:val="24"/>
        </w:rPr>
      </w:pPr>
    </w:p>
    <w:p w14:paraId="357EF412" w14:textId="77777777" w:rsidR="00921DCA" w:rsidRPr="00544E49" w:rsidRDefault="00921DCA" w:rsidP="00921DCA">
      <w:pPr>
        <w:overflowPunct/>
        <w:autoSpaceDE/>
        <w:autoSpaceDN/>
        <w:adjustRightInd/>
        <w:textAlignment w:val="auto"/>
        <w:rPr>
          <w:b/>
          <w:sz w:val="24"/>
          <w:szCs w:val="24"/>
          <w:lang w:val="en-US" w:eastAsia="en-US"/>
        </w:rPr>
      </w:pPr>
      <w:r w:rsidRPr="00544E49">
        <w:rPr>
          <w:b/>
          <w:sz w:val="24"/>
          <w:szCs w:val="24"/>
          <w:lang w:val="en-US" w:eastAsia="en-US"/>
        </w:rPr>
        <w:t xml:space="preserve">Sourcing Division </w:t>
      </w:r>
    </w:p>
    <w:p w14:paraId="626629B5" w14:textId="77777777" w:rsidR="00921DCA" w:rsidRPr="00544E49" w:rsidRDefault="00921DCA" w:rsidP="00921DCA">
      <w:pPr>
        <w:overflowPunct/>
        <w:autoSpaceDE/>
        <w:autoSpaceDN/>
        <w:adjustRightInd/>
        <w:textAlignment w:val="auto"/>
        <w:rPr>
          <w:b/>
          <w:sz w:val="24"/>
          <w:szCs w:val="24"/>
          <w:lang w:val="en-US" w:eastAsia="en-US"/>
        </w:rPr>
      </w:pPr>
    </w:p>
    <w:p w14:paraId="045AF66D" w14:textId="74554231" w:rsidR="00921DCA" w:rsidRPr="00E854D2" w:rsidRDefault="00921DCA" w:rsidP="00921DCA">
      <w:pPr>
        <w:jc w:val="both"/>
        <w:rPr>
          <w:sz w:val="24"/>
          <w:szCs w:val="24"/>
          <w:lang w:val="en-US" w:eastAsia="en-US"/>
        </w:rPr>
      </w:pPr>
      <w:r w:rsidRPr="00E854D2">
        <w:rPr>
          <w:sz w:val="24"/>
          <w:szCs w:val="24"/>
          <w:lang w:val="en-US" w:eastAsia="en-US"/>
        </w:rPr>
        <w:t xml:space="preserve">Sales at our sourcing division declined by </w:t>
      </w:r>
      <w:r w:rsidR="001112A7">
        <w:rPr>
          <w:sz w:val="24"/>
          <w:szCs w:val="24"/>
          <w:lang w:val="en-US" w:eastAsia="en-US"/>
        </w:rPr>
        <w:t>2.2</w:t>
      </w:r>
      <w:r w:rsidRPr="00E854D2">
        <w:rPr>
          <w:sz w:val="24"/>
          <w:szCs w:val="24"/>
          <w:lang w:val="en-US" w:eastAsia="en-US"/>
        </w:rPr>
        <w:t>% in 2020, compared with the same period in 2019, from £18.2m to £</w:t>
      </w:r>
      <w:r w:rsidR="001112A7">
        <w:rPr>
          <w:sz w:val="24"/>
          <w:szCs w:val="24"/>
          <w:lang w:val="en-US" w:eastAsia="en-US"/>
        </w:rPr>
        <w:t>17.8m</w:t>
      </w:r>
      <w:r w:rsidRPr="00E854D2">
        <w:rPr>
          <w:sz w:val="24"/>
          <w:szCs w:val="24"/>
          <w:lang w:val="en-US" w:eastAsia="en-US"/>
        </w:rPr>
        <w:t xml:space="preserve">. Operating profit declined by a corresponding 25%, from £0.4m to £0.3m, reflecting </w:t>
      </w:r>
      <w:r>
        <w:rPr>
          <w:sz w:val="24"/>
          <w:szCs w:val="24"/>
          <w:lang w:val="en-US" w:eastAsia="en-US"/>
        </w:rPr>
        <w:t xml:space="preserve">the </w:t>
      </w:r>
      <w:r w:rsidRPr="00E854D2">
        <w:rPr>
          <w:sz w:val="24"/>
          <w:szCs w:val="24"/>
          <w:lang w:val="en-US" w:eastAsia="en-US"/>
        </w:rPr>
        <w:t xml:space="preserve">trading </w:t>
      </w:r>
      <w:r>
        <w:rPr>
          <w:sz w:val="24"/>
          <w:szCs w:val="24"/>
          <w:lang w:val="en-US" w:eastAsia="en-US"/>
        </w:rPr>
        <w:t>impact of COVID-19.</w:t>
      </w:r>
    </w:p>
    <w:p w14:paraId="30AC55C4" w14:textId="77777777" w:rsidR="00921DCA" w:rsidRPr="00603400" w:rsidRDefault="00921DCA" w:rsidP="00921DCA">
      <w:pPr>
        <w:jc w:val="both"/>
        <w:rPr>
          <w:sz w:val="24"/>
          <w:szCs w:val="24"/>
          <w:highlight w:val="yellow"/>
          <w:lang w:val="en-US" w:eastAsia="en-US"/>
        </w:rPr>
      </w:pPr>
    </w:p>
    <w:p w14:paraId="5E631372" w14:textId="01B7B3B0" w:rsidR="00921DCA" w:rsidRPr="00544E49" w:rsidRDefault="00921DCA" w:rsidP="00921DCA">
      <w:pPr>
        <w:overflowPunct/>
        <w:autoSpaceDE/>
        <w:autoSpaceDN/>
        <w:adjustRightInd/>
        <w:textAlignment w:val="auto"/>
        <w:rPr>
          <w:rFonts w:eastAsia="Calibri"/>
          <w:sz w:val="24"/>
          <w:szCs w:val="24"/>
          <w:lang w:eastAsia="en-US"/>
        </w:rPr>
      </w:pPr>
      <w:r w:rsidRPr="00E12092">
        <w:rPr>
          <w:rFonts w:eastAsia="Calibri"/>
          <w:sz w:val="24"/>
          <w:szCs w:val="24"/>
          <w:lang w:eastAsia="en-US"/>
        </w:rPr>
        <w:t>The Group’s original investment in the main Sourcing subsidiary, Townview Foods</w:t>
      </w:r>
      <w:r w:rsidR="00C54B29">
        <w:rPr>
          <w:rFonts w:eastAsia="Calibri"/>
          <w:sz w:val="24"/>
          <w:szCs w:val="24"/>
          <w:lang w:eastAsia="en-US"/>
        </w:rPr>
        <w:t xml:space="preserve"> Ltd</w:t>
      </w:r>
      <w:r w:rsidRPr="00E12092">
        <w:rPr>
          <w:rFonts w:eastAsia="Calibri"/>
          <w:sz w:val="24"/>
          <w:szCs w:val="24"/>
          <w:lang w:eastAsia="en-US"/>
        </w:rPr>
        <w:t xml:space="preserve">, has been fully recouped and the structures are in place to continue </w:t>
      </w:r>
      <w:r>
        <w:rPr>
          <w:rFonts w:eastAsia="Calibri"/>
          <w:sz w:val="24"/>
          <w:szCs w:val="24"/>
          <w:lang w:eastAsia="en-US"/>
        </w:rPr>
        <w:t>development</w:t>
      </w:r>
      <w:r w:rsidRPr="00E12092">
        <w:rPr>
          <w:rFonts w:eastAsia="Calibri"/>
          <w:sz w:val="24"/>
          <w:szCs w:val="24"/>
          <w:lang w:eastAsia="en-US"/>
        </w:rPr>
        <w:t xml:space="preserve"> </w:t>
      </w:r>
      <w:r>
        <w:rPr>
          <w:rFonts w:eastAsia="Calibri"/>
          <w:sz w:val="24"/>
          <w:szCs w:val="24"/>
          <w:lang w:eastAsia="en-US"/>
        </w:rPr>
        <w:t xml:space="preserve">of </w:t>
      </w:r>
      <w:r w:rsidRPr="00E12092">
        <w:rPr>
          <w:rFonts w:eastAsia="Calibri"/>
          <w:sz w:val="24"/>
          <w:szCs w:val="24"/>
          <w:lang w:eastAsia="en-US"/>
        </w:rPr>
        <w:t>this business.</w:t>
      </w:r>
    </w:p>
    <w:p w14:paraId="19EDF50D" w14:textId="77777777" w:rsidR="00921DCA" w:rsidRPr="00544E49" w:rsidRDefault="00921DCA" w:rsidP="00921DCA">
      <w:pPr>
        <w:overflowPunct/>
        <w:autoSpaceDE/>
        <w:autoSpaceDN/>
        <w:adjustRightInd/>
        <w:textAlignment w:val="auto"/>
        <w:rPr>
          <w:b/>
          <w:sz w:val="24"/>
          <w:szCs w:val="24"/>
          <w:lang w:val="en-US" w:eastAsia="en-US"/>
        </w:rPr>
      </w:pPr>
    </w:p>
    <w:p w14:paraId="58DEB822" w14:textId="77777777" w:rsidR="00921DCA" w:rsidRPr="00544E49" w:rsidRDefault="00921DCA" w:rsidP="00921DCA">
      <w:pPr>
        <w:overflowPunct/>
        <w:autoSpaceDE/>
        <w:autoSpaceDN/>
        <w:adjustRightInd/>
        <w:textAlignment w:val="auto"/>
        <w:rPr>
          <w:b/>
          <w:sz w:val="24"/>
          <w:szCs w:val="24"/>
          <w:lang w:val="en-US" w:eastAsia="en-US"/>
        </w:rPr>
      </w:pPr>
      <w:r w:rsidRPr="00544E49">
        <w:rPr>
          <w:b/>
          <w:sz w:val="24"/>
          <w:szCs w:val="24"/>
          <w:lang w:val="en-US" w:eastAsia="en-US"/>
        </w:rPr>
        <w:t>Dairy Division</w:t>
      </w:r>
    </w:p>
    <w:p w14:paraId="734AC3F8" w14:textId="77777777" w:rsidR="00921DCA" w:rsidRPr="00544E49" w:rsidRDefault="00921DCA" w:rsidP="00921DCA">
      <w:pPr>
        <w:overflowPunct/>
        <w:autoSpaceDE/>
        <w:autoSpaceDN/>
        <w:adjustRightInd/>
        <w:textAlignment w:val="auto"/>
        <w:rPr>
          <w:b/>
          <w:sz w:val="24"/>
          <w:szCs w:val="24"/>
          <w:lang w:val="en-US" w:eastAsia="en-US"/>
        </w:rPr>
      </w:pPr>
    </w:p>
    <w:p w14:paraId="164CF636" w14:textId="7F751CCF" w:rsidR="00921DCA" w:rsidRDefault="00921DCA" w:rsidP="00921DCA">
      <w:pPr>
        <w:rPr>
          <w:sz w:val="24"/>
          <w:szCs w:val="24"/>
          <w:lang w:val="en-IE"/>
        </w:rPr>
      </w:pPr>
      <w:r w:rsidRPr="006337D6">
        <w:rPr>
          <w:sz w:val="24"/>
          <w:szCs w:val="24"/>
          <w:lang w:val="en-IE"/>
        </w:rPr>
        <w:t>Our subsidiary, Grass to Milk Company</w:t>
      </w:r>
      <w:r w:rsidR="00C54B29">
        <w:rPr>
          <w:sz w:val="24"/>
          <w:szCs w:val="24"/>
          <w:lang w:val="en-IE"/>
        </w:rPr>
        <w:t xml:space="preserve"> Ltd</w:t>
      </w:r>
      <w:r w:rsidRPr="006337D6">
        <w:rPr>
          <w:sz w:val="24"/>
          <w:szCs w:val="24"/>
          <w:lang w:val="en-IE"/>
        </w:rPr>
        <w:t>, completed a key milestone in its development; delivering its first shipment of A2 protein product to China</w:t>
      </w:r>
      <w:r w:rsidR="00C132BC">
        <w:rPr>
          <w:sz w:val="24"/>
          <w:szCs w:val="24"/>
          <w:lang w:val="en-IE"/>
        </w:rPr>
        <w:t xml:space="preserve">, </w:t>
      </w:r>
      <w:r w:rsidRPr="006337D6">
        <w:rPr>
          <w:sz w:val="24"/>
          <w:szCs w:val="24"/>
          <w:lang w:val="en-IE"/>
        </w:rPr>
        <w:t xml:space="preserve">in the final quarter of 2020. </w:t>
      </w:r>
    </w:p>
    <w:p w14:paraId="218E2580" w14:textId="77777777" w:rsidR="00921DCA" w:rsidRDefault="00921DCA" w:rsidP="00921DCA">
      <w:pPr>
        <w:rPr>
          <w:sz w:val="24"/>
          <w:szCs w:val="24"/>
          <w:lang w:val="en-IE"/>
        </w:rPr>
      </w:pPr>
    </w:p>
    <w:p w14:paraId="3463981A" w14:textId="62CBBB23" w:rsidR="00F20E60" w:rsidRDefault="00F20E60" w:rsidP="00F20E60">
      <w:pPr>
        <w:rPr>
          <w:color w:val="222222"/>
          <w:sz w:val="24"/>
          <w:szCs w:val="24"/>
          <w:shd w:val="clear" w:color="auto" w:fill="FFFFFF"/>
        </w:rPr>
      </w:pPr>
      <w:proofErr w:type="spellStart"/>
      <w:r>
        <w:rPr>
          <w:color w:val="222222"/>
          <w:sz w:val="24"/>
          <w:szCs w:val="24"/>
          <w:shd w:val="clear" w:color="auto" w:fill="FFFFFF"/>
        </w:rPr>
        <w:t>Cantwellscourt</w:t>
      </w:r>
      <w:proofErr w:type="spellEnd"/>
      <w:r>
        <w:rPr>
          <w:color w:val="222222"/>
          <w:sz w:val="24"/>
          <w:szCs w:val="24"/>
          <w:shd w:val="clear" w:color="auto" w:fill="FFFFFF"/>
        </w:rPr>
        <w:t xml:space="preserve"> Farm </w:t>
      </w:r>
      <w:proofErr w:type="spellStart"/>
      <w:r w:rsidR="00C54B29">
        <w:rPr>
          <w:color w:val="222222"/>
          <w:sz w:val="24"/>
          <w:szCs w:val="24"/>
          <w:shd w:val="clear" w:color="auto" w:fill="FFFFFF"/>
        </w:rPr>
        <w:t>Ltd’s</w:t>
      </w:r>
      <w:proofErr w:type="spellEnd"/>
      <w:r w:rsidR="00C54B29">
        <w:rPr>
          <w:color w:val="222222"/>
          <w:sz w:val="24"/>
          <w:szCs w:val="24"/>
          <w:shd w:val="clear" w:color="auto" w:fill="FFFFFF"/>
        </w:rPr>
        <w:t xml:space="preserve"> </w:t>
      </w:r>
      <w:r>
        <w:rPr>
          <w:color w:val="222222"/>
          <w:sz w:val="24"/>
          <w:szCs w:val="24"/>
          <w:shd w:val="clear" w:color="auto" w:fill="FFFFFF"/>
        </w:rPr>
        <w:t>operating performance in 2020 was consistent with our expectations.</w:t>
      </w:r>
      <w:r w:rsidR="0025189B">
        <w:rPr>
          <w:color w:val="222222"/>
          <w:sz w:val="24"/>
          <w:szCs w:val="24"/>
          <w:shd w:val="clear" w:color="auto" w:fill="FFFFFF"/>
        </w:rPr>
        <w:t xml:space="preserve"> </w:t>
      </w:r>
      <w:r>
        <w:rPr>
          <w:color w:val="222222"/>
          <w:sz w:val="24"/>
          <w:szCs w:val="24"/>
          <w:shd w:val="clear" w:color="auto" w:fill="FFFFFF"/>
        </w:rPr>
        <w:t>Our herd, now fully converted to producing A2 milk, generated revenue 11% ahead year on year. This was driven by better production output per cow and reflective increase in milk market pricing.</w:t>
      </w:r>
    </w:p>
    <w:p w14:paraId="1688FC86" w14:textId="77777777" w:rsidR="0025189B" w:rsidRDefault="0025189B" w:rsidP="00F20E60">
      <w:pPr>
        <w:rPr>
          <w:color w:val="222222"/>
          <w:sz w:val="24"/>
          <w:szCs w:val="24"/>
          <w:shd w:val="clear" w:color="auto" w:fill="FFFFFF"/>
        </w:rPr>
      </w:pPr>
    </w:p>
    <w:p w14:paraId="6BCEDF4E" w14:textId="4500EA33" w:rsidR="00F20E60" w:rsidRDefault="00F20E60" w:rsidP="00F20E60">
      <w:pPr>
        <w:rPr>
          <w:sz w:val="24"/>
          <w:szCs w:val="24"/>
          <w:lang w:val="en-IE"/>
        </w:rPr>
      </w:pPr>
      <w:r>
        <w:rPr>
          <w:color w:val="222222"/>
          <w:sz w:val="24"/>
          <w:szCs w:val="24"/>
          <w:shd w:val="clear" w:color="auto" w:fill="FFFFFF"/>
        </w:rPr>
        <w:t>Our farming enterprise continues to improve across key operating KPI</w:t>
      </w:r>
      <w:r w:rsidR="00C132BC">
        <w:rPr>
          <w:color w:val="222222"/>
          <w:sz w:val="24"/>
          <w:szCs w:val="24"/>
          <w:shd w:val="clear" w:color="auto" w:fill="FFFFFF"/>
        </w:rPr>
        <w:t>’</w:t>
      </w:r>
      <w:r>
        <w:rPr>
          <w:color w:val="222222"/>
          <w:sz w:val="24"/>
          <w:szCs w:val="24"/>
          <w:shd w:val="clear" w:color="auto" w:fill="FFFFFF"/>
        </w:rPr>
        <w:t>s</w:t>
      </w:r>
      <w:r w:rsidR="00C132BC">
        <w:rPr>
          <w:color w:val="222222"/>
          <w:sz w:val="24"/>
          <w:szCs w:val="24"/>
          <w:shd w:val="clear" w:color="auto" w:fill="FFFFFF"/>
        </w:rPr>
        <w:t>.</w:t>
      </w:r>
      <w:r>
        <w:rPr>
          <w:color w:val="222222"/>
          <w:sz w:val="24"/>
          <w:szCs w:val="24"/>
          <w:shd w:val="clear" w:color="auto" w:fill="FFFFFF"/>
        </w:rPr>
        <w:t xml:space="preserve"> </w:t>
      </w:r>
      <w:proofErr w:type="spellStart"/>
      <w:r>
        <w:rPr>
          <w:color w:val="222222"/>
          <w:sz w:val="24"/>
          <w:szCs w:val="24"/>
          <w:shd w:val="clear" w:color="auto" w:fill="FFFFFF"/>
        </w:rPr>
        <w:t>Cantwellscourt</w:t>
      </w:r>
      <w:proofErr w:type="spellEnd"/>
      <w:r>
        <w:rPr>
          <w:color w:val="222222"/>
          <w:sz w:val="24"/>
          <w:szCs w:val="24"/>
          <w:shd w:val="clear" w:color="auto" w:fill="FFFFFF"/>
        </w:rPr>
        <w:t xml:space="preserve"> </w:t>
      </w:r>
      <w:r w:rsidR="00C54B29">
        <w:rPr>
          <w:color w:val="222222"/>
          <w:sz w:val="24"/>
          <w:szCs w:val="24"/>
          <w:shd w:val="clear" w:color="auto" w:fill="FFFFFF"/>
        </w:rPr>
        <w:t xml:space="preserve">Farm Ltd </w:t>
      </w:r>
      <w:r w:rsidR="00C132BC">
        <w:rPr>
          <w:color w:val="222222"/>
          <w:sz w:val="24"/>
          <w:szCs w:val="24"/>
          <w:shd w:val="clear" w:color="auto" w:fill="FFFFFF"/>
        </w:rPr>
        <w:t xml:space="preserve">is providing </w:t>
      </w:r>
      <w:r>
        <w:rPr>
          <w:color w:val="222222"/>
          <w:sz w:val="24"/>
          <w:szCs w:val="24"/>
          <w:shd w:val="clear" w:color="auto" w:fill="FFFFFF"/>
        </w:rPr>
        <w:t>A2 protein milk supply to Grass to Milk</w:t>
      </w:r>
      <w:r w:rsidR="00C132BC">
        <w:rPr>
          <w:color w:val="222222"/>
          <w:sz w:val="24"/>
          <w:szCs w:val="24"/>
          <w:shd w:val="clear" w:color="auto" w:fill="FFFFFF"/>
        </w:rPr>
        <w:t xml:space="preserve"> </w:t>
      </w:r>
      <w:r w:rsidR="00C54B29">
        <w:rPr>
          <w:color w:val="222222"/>
          <w:sz w:val="24"/>
          <w:szCs w:val="24"/>
          <w:shd w:val="clear" w:color="auto" w:fill="FFFFFF"/>
        </w:rPr>
        <w:t xml:space="preserve">Ltd </w:t>
      </w:r>
      <w:r w:rsidR="00C132BC">
        <w:rPr>
          <w:color w:val="222222"/>
          <w:sz w:val="24"/>
          <w:szCs w:val="24"/>
          <w:shd w:val="clear" w:color="auto" w:fill="FFFFFF"/>
        </w:rPr>
        <w:t>in the first instance.</w:t>
      </w:r>
    </w:p>
    <w:p w14:paraId="1F1CCA78" w14:textId="5F67DDC7" w:rsidR="0036677C" w:rsidRDefault="0036677C" w:rsidP="006337D6">
      <w:pPr>
        <w:rPr>
          <w:sz w:val="24"/>
          <w:szCs w:val="24"/>
          <w:lang w:val="en-IE" w:eastAsia="en-US"/>
        </w:rPr>
      </w:pPr>
    </w:p>
    <w:p w14:paraId="2EB3F848" w14:textId="12964104" w:rsidR="005C2199" w:rsidRDefault="005C2199" w:rsidP="006337D6">
      <w:pPr>
        <w:rPr>
          <w:sz w:val="24"/>
          <w:szCs w:val="24"/>
          <w:lang w:val="en-IE" w:eastAsia="en-US"/>
        </w:rPr>
      </w:pPr>
    </w:p>
    <w:p w14:paraId="2948E091" w14:textId="6BDBD14C" w:rsidR="00A042D1" w:rsidRDefault="00A042D1" w:rsidP="006337D6">
      <w:pPr>
        <w:rPr>
          <w:sz w:val="24"/>
          <w:szCs w:val="24"/>
          <w:lang w:val="en-IE" w:eastAsia="en-US"/>
        </w:rPr>
      </w:pPr>
    </w:p>
    <w:p w14:paraId="6AF93A68" w14:textId="764293E6" w:rsidR="00A042D1" w:rsidRDefault="00A042D1" w:rsidP="006337D6">
      <w:pPr>
        <w:rPr>
          <w:sz w:val="24"/>
          <w:szCs w:val="24"/>
          <w:lang w:val="en-IE" w:eastAsia="en-US"/>
        </w:rPr>
      </w:pPr>
    </w:p>
    <w:p w14:paraId="7330E2F3" w14:textId="357F82FB" w:rsidR="00A042D1" w:rsidRDefault="00A042D1" w:rsidP="006337D6">
      <w:pPr>
        <w:rPr>
          <w:sz w:val="24"/>
          <w:szCs w:val="24"/>
          <w:lang w:val="en-IE" w:eastAsia="en-US"/>
        </w:rPr>
      </w:pPr>
    </w:p>
    <w:p w14:paraId="77D0B704" w14:textId="77777777" w:rsidR="00A042D1" w:rsidRDefault="00A042D1" w:rsidP="006337D6">
      <w:pPr>
        <w:rPr>
          <w:sz w:val="24"/>
          <w:szCs w:val="24"/>
          <w:lang w:val="en-IE" w:eastAsia="en-US"/>
        </w:rPr>
      </w:pPr>
    </w:p>
    <w:p w14:paraId="04BD4A32" w14:textId="1D1F61FB" w:rsidR="005C2199" w:rsidRDefault="005C2199" w:rsidP="006337D6">
      <w:pPr>
        <w:rPr>
          <w:sz w:val="24"/>
          <w:szCs w:val="24"/>
          <w:lang w:val="en-IE" w:eastAsia="en-US"/>
        </w:rPr>
      </w:pPr>
    </w:p>
    <w:p w14:paraId="57FE8F28" w14:textId="77777777" w:rsidR="005C2199" w:rsidRPr="006337D6" w:rsidRDefault="005C2199" w:rsidP="006337D6">
      <w:pPr>
        <w:rPr>
          <w:sz w:val="24"/>
          <w:szCs w:val="24"/>
          <w:lang w:val="en-IE" w:eastAsia="en-US"/>
        </w:rPr>
      </w:pPr>
    </w:p>
    <w:p w14:paraId="74310800" w14:textId="7A40EF18" w:rsidR="00571612" w:rsidRDefault="00571612" w:rsidP="00571612">
      <w:pPr>
        <w:rPr>
          <w:sz w:val="24"/>
          <w:szCs w:val="24"/>
        </w:rPr>
      </w:pPr>
    </w:p>
    <w:p w14:paraId="28215EA9" w14:textId="77777777" w:rsidR="00A461A9" w:rsidRPr="00571612" w:rsidRDefault="00A461A9" w:rsidP="00571612">
      <w:pPr>
        <w:rPr>
          <w:sz w:val="24"/>
          <w:szCs w:val="24"/>
        </w:rPr>
      </w:pPr>
    </w:p>
    <w:p w14:paraId="7DD0E626" w14:textId="521A3CEF" w:rsidR="00571612" w:rsidRDefault="00571612" w:rsidP="00BF6318">
      <w:pPr>
        <w:overflowPunct/>
        <w:autoSpaceDE/>
        <w:autoSpaceDN/>
        <w:adjustRightInd/>
        <w:textAlignment w:val="auto"/>
        <w:rPr>
          <w:sz w:val="24"/>
          <w:szCs w:val="24"/>
          <w:lang w:val="en-US" w:eastAsia="en-US"/>
        </w:rPr>
      </w:pPr>
    </w:p>
    <w:p w14:paraId="53A083DA" w14:textId="4218EF87" w:rsidR="00571612" w:rsidRDefault="00571612" w:rsidP="00BF6318">
      <w:pPr>
        <w:overflowPunct/>
        <w:autoSpaceDE/>
        <w:autoSpaceDN/>
        <w:adjustRightInd/>
        <w:textAlignment w:val="auto"/>
        <w:rPr>
          <w:sz w:val="24"/>
          <w:szCs w:val="24"/>
          <w:lang w:val="en-US" w:eastAsia="en-US"/>
        </w:rPr>
      </w:pPr>
    </w:p>
    <w:p w14:paraId="19F596F1" w14:textId="77777777" w:rsidR="00BF6318" w:rsidRPr="004B7841" w:rsidRDefault="00BF6318" w:rsidP="00BF6318">
      <w:pPr>
        <w:pBdr>
          <w:bottom w:val="single" w:sz="8" w:space="5" w:color="000000"/>
        </w:pBdr>
        <w:suppressAutoHyphens/>
        <w:overflowPunct/>
        <w:autoSpaceDE/>
        <w:autoSpaceDN/>
        <w:adjustRightInd/>
        <w:spacing w:line="288" w:lineRule="auto"/>
        <w:textAlignment w:val="center"/>
        <w:rPr>
          <w:b/>
          <w:bCs/>
          <w:caps/>
          <w:color w:val="000000"/>
          <w:sz w:val="30"/>
          <w:szCs w:val="30"/>
          <w:lang w:eastAsia="en-GB"/>
        </w:rPr>
      </w:pPr>
      <w:r w:rsidRPr="004B7841">
        <w:rPr>
          <w:b/>
          <w:bCs/>
          <w:caps/>
          <w:color w:val="000000"/>
          <w:sz w:val="30"/>
          <w:szCs w:val="30"/>
          <w:lang w:eastAsia="en-GB"/>
        </w:rPr>
        <w:t xml:space="preserve">Chairman’s Statement </w:t>
      </w:r>
      <w:r w:rsidRPr="004B7841">
        <w:rPr>
          <w:b/>
          <w:bCs/>
          <w:i/>
          <w:caps/>
          <w:color w:val="000000"/>
          <w:sz w:val="26"/>
          <w:szCs w:val="26"/>
          <w:lang w:eastAsia="en-GB"/>
        </w:rPr>
        <w:t>(Continued)</w:t>
      </w:r>
    </w:p>
    <w:p w14:paraId="4F88A820" w14:textId="77777777" w:rsidR="004A4AA7" w:rsidRDefault="004A4AA7" w:rsidP="004A4AA7">
      <w:pPr>
        <w:overflowPunct/>
        <w:autoSpaceDE/>
        <w:autoSpaceDN/>
        <w:adjustRightInd/>
        <w:textAlignment w:val="auto"/>
        <w:rPr>
          <w:b/>
          <w:sz w:val="24"/>
          <w:szCs w:val="24"/>
          <w:lang w:val="en-US" w:eastAsia="en-US"/>
        </w:rPr>
      </w:pPr>
    </w:p>
    <w:p w14:paraId="7309AC80" w14:textId="77777777" w:rsidR="00921DCA" w:rsidRPr="00544E49" w:rsidRDefault="00921DCA" w:rsidP="00921DCA">
      <w:pPr>
        <w:overflowPunct/>
        <w:autoSpaceDE/>
        <w:autoSpaceDN/>
        <w:adjustRightInd/>
        <w:textAlignment w:val="auto"/>
        <w:rPr>
          <w:b/>
          <w:sz w:val="24"/>
          <w:szCs w:val="24"/>
          <w:lang w:val="en-US" w:eastAsia="en-US"/>
        </w:rPr>
      </w:pPr>
      <w:r w:rsidRPr="00544E49">
        <w:rPr>
          <w:b/>
          <w:sz w:val="24"/>
          <w:szCs w:val="24"/>
          <w:lang w:val="en-US" w:eastAsia="en-US"/>
        </w:rPr>
        <w:t>Discontinued</w:t>
      </w:r>
    </w:p>
    <w:p w14:paraId="552B9725" w14:textId="77777777" w:rsidR="00921DCA" w:rsidRPr="00544E49" w:rsidRDefault="00921DCA" w:rsidP="00921DCA">
      <w:pPr>
        <w:overflowPunct/>
        <w:autoSpaceDE/>
        <w:autoSpaceDN/>
        <w:adjustRightInd/>
        <w:textAlignment w:val="auto"/>
        <w:rPr>
          <w:b/>
          <w:sz w:val="24"/>
          <w:szCs w:val="24"/>
          <w:lang w:val="en-US" w:eastAsia="en-US"/>
        </w:rPr>
      </w:pPr>
    </w:p>
    <w:p w14:paraId="75AB653E" w14:textId="6D6F7FAC" w:rsidR="00F20E60" w:rsidRDefault="00F20E60" w:rsidP="00F20E60">
      <w:pPr>
        <w:overflowPunct/>
        <w:autoSpaceDE/>
        <w:adjustRightInd/>
        <w:rPr>
          <w:sz w:val="24"/>
          <w:szCs w:val="24"/>
          <w:lang w:val="en-US" w:eastAsia="en-US"/>
        </w:rPr>
      </w:pPr>
      <w:r>
        <w:rPr>
          <w:sz w:val="24"/>
          <w:szCs w:val="24"/>
          <w:lang w:val="en-US" w:eastAsia="en-US"/>
        </w:rPr>
        <w:t>During 2020, the group decided to discontinue ambient warehousing in Ireland</w:t>
      </w:r>
      <w:r w:rsidR="00E0065F">
        <w:rPr>
          <w:sz w:val="24"/>
          <w:szCs w:val="24"/>
          <w:lang w:val="en-US" w:eastAsia="en-US"/>
        </w:rPr>
        <w:t>.</w:t>
      </w:r>
      <w:r>
        <w:rPr>
          <w:sz w:val="24"/>
          <w:szCs w:val="24"/>
          <w:lang w:val="en-US" w:eastAsia="en-US"/>
        </w:rPr>
        <w:t xml:space="preserve"> A loss in the current year of £0.07m was incurred, compared </w:t>
      </w:r>
      <w:r w:rsidR="00C54B29">
        <w:rPr>
          <w:sz w:val="24"/>
          <w:szCs w:val="24"/>
          <w:lang w:val="en-US" w:eastAsia="en-US"/>
        </w:rPr>
        <w:t xml:space="preserve">with </w:t>
      </w:r>
      <w:r>
        <w:rPr>
          <w:sz w:val="24"/>
          <w:szCs w:val="24"/>
          <w:lang w:val="en-US" w:eastAsia="en-US"/>
        </w:rPr>
        <w:t>£0.06m last year.</w:t>
      </w:r>
    </w:p>
    <w:p w14:paraId="64AC427A" w14:textId="77777777" w:rsidR="00921DCA" w:rsidRDefault="00921DCA" w:rsidP="00921DCA">
      <w:pPr>
        <w:overflowPunct/>
        <w:autoSpaceDE/>
        <w:autoSpaceDN/>
        <w:adjustRightInd/>
        <w:textAlignment w:val="auto"/>
        <w:rPr>
          <w:b/>
          <w:sz w:val="24"/>
          <w:szCs w:val="24"/>
          <w:lang w:val="en-US" w:eastAsia="en-US"/>
        </w:rPr>
      </w:pPr>
    </w:p>
    <w:p w14:paraId="3F7F3FFA" w14:textId="77777777" w:rsidR="00921DCA" w:rsidRPr="00544E49" w:rsidRDefault="00921DCA" w:rsidP="00921DCA">
      <w:pPr>
        <w:overflowPunct/>
        <w:autoSpaceDE/>
        <w:autoSpaceDN/>
        <w:adjustRightInd/>
        <w:textAlignment w:val="auto"/>
        <w:rPr>
          <w:b/>
          <w:sz w:val="24"/>
          <w:szCs w:val="24"/>
          <w:lang w:val="en-US" w:eastAsia="en-US"/>
        </w:rPr>
      </w:pPr>
      <w:r w:rsidRPr="00544E49">
        <w:rPr>
          <w:b/>
          <w:sz w:val="24"/>
          <w:szCs w:val="24"/>
          <w:lang w:val="en-US" w:eastAsia="en-US"/>
        </w:rPr>
        <w:t>Outlook</w:t>
      </w:r>
    </w:p>
    <w:p w14:paraId="0FC624C0" w14:textId="77777777" w:rsidR="00921DCA" w:rsidRPr="00544E49" w:rsidRDefault="00921DCA" w:rsidP="00921DCA">
      <w:pPr>
        <w:overflowPunct/>
        <w:autoSpaceDE/>
        <w:autoSpaceDN/>
        <w:adjustRightInd/>
        <w:textAlignment w:val="auto"/>
        <w:rPr>
          <w:b/>
          <w:sz w:val="24"/>
          <w:szCs w:val="24"/>
          <w:lang w:val="en-US" w:eastAsia="en-US"/>
        </w:rPr>
      </w:pPr>
    </w:p>
    <w:p w14:paraId="3F7CA5CD" w14:textId="1CC08B9E" w:rsidR="00921DCA" w:rsidRPr="0063684B" w:rsidRDefault="00921DCA" w:rsidP="00921DCA">
      <w:pPr>
        <w:rPr>
          <w:sz w:val="24"/>
          <w:szCs w:val="24"/>
        </w:rPr>
      </w:pPr>
      <w:r w:rsidRPr="0063684B">
        <w:rPr>
          <w:sz w:val="24"/>
          <w:szCs w:val="24"/>
        </w:rPr>
        <w:t xml:space="preserve">I am pleased to report that the improvement </w:t>
      </w:r>
      <w:r>
        <w:rPr>
          <w:sz w:val="24"/>
          <w:szCs w:val="24"/>
        </w:rPr>
        <w:t xml:space="preserve">in the cold store division in the later months of 2020, </w:t>
      </w:r>
      <w:r w:rsidR="0019363A">
        <w:rPr>
          <w:sz w:val="24"/>
          <w:szCs w:val="24"/>
        </w:rPr>
        <w:t>has</w:t>
      </w:r>
      <w:r>
        <w:rPr>
          <w:sz w:val="24"/>
          <w:szCs w:val="24"/>
        </w:rPr>
        <w:t xml:space="preserve"> </w:t>
      </w:r>
      <w:r w:rsidRPr="0063684B">
        <w:rPr>
          <w:sz w:val="24"/>
          <w:szCs w:val="24"/>
        </w:rPr>
        <w:t xml:space="preserve">continued </w:t>
      </w:r>
      <w:r w:rsidR="00A461A9">
        <w:rPr>
          <w:sz w:val="24"/>
          <w:szCs w:val="24"/>
        </w:rPr>
        <w:t>through</w:t>
      </w:r>
      <w:r w:rsidRPr="0063684B">
        <w:rPr>
          <w:sz w:val="24"/>
          <w:szCs w:val="24"/>
        </w:rPr>
        <w:t xml:space="preserve"> January</w:t>
      </w:r>
      <w:r w:rsidR="00F7531A">
        <w:rPr>
          <w:sz w:val="24"/>
          <w:szCs w:val="24"/>
        </w:rPr>
        <w:t xml:space="preserve"> and</w:t>
      </w:r>
      <w:r>
        <w:rPr>
          <w:sz w:val="24"/>
          <w:szCs w:val="24"/>
        </w:rPr>
        <w:t xml:space="preserve"> </w:t>
      </w:r>
      <w:r w:rsidRPr="0063684B">
        <w:rPr>
          <w:sz w:val="24"/>
          <w:szCs w:val="24"/>
        </w:rPr>
        <w:t xml:space="preserve">February </w:t>
      </w:r>
      <w:r w:rsidR="00A461A9">
        <w:rPr>
          <w:sz w:val="24"/>
          <w:szCs w:val="24"/>
        </w:rPr>
        <w:t xml:space="preserve">and into March </w:t>
      </w:r>
      <w:r w:rsidRPr="0063684B">
        <w:rPr>
          <w:sz w:val="24"/>
          <w:szCs w:val="24"/>
        </w:rPr>
        <w:t>of 2021</w:t>
      </w:r>
      <w:r>
        <w:rPr>
          <w:sz w:val="24"/>
          <w:szCs w:val="24"/>
        </w:rPr>
        <w:t xml:space="preserve">. </w:t>
      </w:r>
    </w:p>
    <w:p w14:paraId="2BF19153" w14:textId="77777777" w:rsidR="00921DCA" w:rsidRPr="00603400" w:rsidRDefault="00921DCA" w:rsidP="00921DCA">
      <w:pPr>
        <w:overflowPunct/>
        <w:autoSpaceDE/>
        <w:autoSpaceDN/>
        <w:adjustRightInd/>
        <w:textAlignment w:val="auto"/>
        <w:rPr>
          <w:b/>
          <w:sz w:val="24"/>
          <w:szCs w:val="24"/>
          <w:highlight w:val="yellow"/>
          <w:lang w:val="en-US" w:eastAsia="en-US"/>
        </w:rPr>
      </w:pPr>
    </w:p>
    <w:p w14:paraId="6D60ED8C" w14:textId="7F2C3555" w:rsidR="00921DCA" w:rsidRPr="006337D6" w:rsidRDefault="00921DCA" w:rsidP="00921DCA">
      <w:pPr>
        <w:rPr>
          <w:sz w:val="24"/>
          <w:szCs w:val="24"/>
          <w:lang w:val="en-IE"/>
        </w:rPr>
      </w:pPr>
      <w:r w:rsidRPr="004A4AA7">
        <w:rPr>
          <w:sz w:val="24"/>
          <w:szCs w:val="24"/>
          <w:lang w:val="en-IE"/>
        </w:rPr>
        <w:t>Our product sourcing division has been impacted by Covid 19 and Brexit in January &amp; February</w:t>
      </w:r>
      <w:r w:rsidR="0019363A">
        <w:rPr>
          <w:sz w:val="24"/>
          <w:szCs w:val="24"/>
          <w:lang w:val="en-IE"/>
        </w:rPr>
        <w:t xml:space="preserve"> 2021</w:t>
      </w:r>
      <w:r w:rsidRPr="004A4AA7">
        <w:rPr>
          <w:sz w:val="24"/>
          <w:szCs w:val="24"/>
          <w:lang w:val="en-IE"/>
        </w:rPr>
        <w:t xml:space="preserve">. We expect to see this to recover in the </w:t>
      </w:r>
      <w:r>
        <w:rPr>
          <w:sz w:val="24"/>
          <w:szCs w:val="24"/>
          <w:lang w:val="en-IE"/>
        </w:rPr>
        <w:t>second</w:t>
      </w:r>
      <w:r w:rsidRPr="004A4AA7">
        <w:rPr>
          <w:sz w:val="24"/>
          <w:szCs w:val="24"/>
          <w:lang w:val="en-IE"/>
        </w:rPr>
        <w:t xml:space="preserve"> quarter</w:t>
      </w:r>
      <w:r w:rsidR="0019363A">
        <w:rPr>
          <w:sz w:val="24"/>
          <w:szCs w:val="24"/>
          <w:lang w:val="en-IE"/>
        </w:rPr>
        <w:t xml:space="preserve"> of 2021</w:t>
      </w:r>
      <w:r w:rsidRPr="004A4AA7">
        <w:rPr>
          <w:sz w:val="24"/>
          <w:szCs w:val="24"/>
          <w:lang w:val="en-IE"/>
        </w:rPr>
        <w:t xml:space="preserve">. </w:t>
      </w:r>
      <w:r w:rsidRPr="006337D6">
        <w:rPr>
          <w:sz w:val="24"/>
          <w:szCs w:val="24"/>
        </w:rPr>
        <w:t>We have identified an opportunity to develop a protein export business to South Africa, and we expect to see growth in this area during 2021</w:t>
      </w:r>
      <w:r>
        <w:rPr>
          <w:sz w:val="24"/>
          <w:szCs w:val="24"/>
          <w:lang w:val="en-IE"/>
        </w:rPr>
        <w:t>.</w:t>
      </w:r>
    </w:p>
    <w:p w14:paraId="3A86103E" w14:textId="77777777" w:rsidR="00921DCA" w:rsidRPr="004A4AA7" w:rsidRDefault="00921DCA" w:rsidP="00921DCA">
      <w:pPr>
        <w:rPr>
          <w:sz w:val="24"/>
          <w:szCs w:val="24"/>
          <w:lang w:val="en-IE"/>
        </w:rPr>
      </w:pPr>
    </w:p>
    <w:p w14:paraId="32545058" w14:textId="34F70A00" w:rsidR="0019363A" w:rsidRDefault="0019363A" w:rsidP="0019363A">
      <w:pPr>
        <w:rPr>
          <w:sz w:val="24"/>
          <w:szCs w:val="24"/>
          <w:lang w:val="en-IE"/>
        </w:rPr>
      </w:pPr>
      <w:r>
        <w:rPr>
          <w:sz w:val="24"/>
          <w:szCs w:val="24"/>
          <w:lang w:val="en-IE"/>
        </w:rPr>
        <w:t xml:space="preserve">We are happy with the progress made with the development of our A2 protein milk supply via </w:t>
      </w:r>
      <w:proofErr w:type="spellStart"/>
      <w:r>
        <w:rPr>
          <w:sz w:val="24"/>
          <w:szCs w:val="24"/>
          <w:lang w:val="en-IE"/>
        </w:rPr>
        <w:t>Cantwellscourt</w:t>
      </w:r>
      <w:proofErr w:type="spellEnd"/>
      <w:r>
        <w:rPr>
          <w:sz w:val="24"/>
          <w:szCs w:val="24"/>
          <w:lang w:val="en-IE"/>
        </w:rPr>
        <w:t xml:space="preserve"> Farm</w:t>
      </w:r>
      <w:r w:rsidR="00C54B29">
        <w:rPr>
          <w:sz w:val="24"/>
          <w:szCs w:val="24"/>
          <w:lang w:val="en-IE"/>
        </w:rPr>
        <w:t xml:space="preserve"> Ltd</w:t>
      </w:r>
      <w:r>
        <w:rPr>
          <w:sz w:val="24"/>
          <w:szCs w:val="24"/>
          <w:lang w:val="en-IE"/>
        </w:rPr>
        <w:t xml:space="preserve">. Grass to Milk Company </w:t>
      </w:r>
      <w:r w:rsidR="00C54B29">
        <w:rPr>
          <w:sz w:val="24"/>
          <w:szCs w:val="24"/>
          <w:lang w:val="en-IE"/>
        </w:rPr>
        <w:t xml:space="preserve">Ltd </w:t>
      </w:r>
      <w:r>
        <w:rPr>
          <w:sz w:val="24"/>
          <w:szCs w:val="24"/>
          <w:lang w:val="en-IE"/>
        </w:rPr>
        <w:t xml:space="preserve">has launched its first A2 protein, using our own unique milk source. We plan to ramp up production in 2021 in conjunction with our commercial partners in the Chinese market. We will continue to execute on our strategy; continuing to develop dairy products with functional nutrition benefits, derived from our unique A2 protein grass-fed milk source. </w:t>
      </w:r>
    </w:p>
    <w:p w14:paraId="22A40399" w14:textId="092AC1BA" w:rsidR="00F31724" w:rsidRDefault="00F31724" w:rsidP="00921DCA">
      <w:pPr>
        <w:rPr>
          <w:sz w:val="24"/>
          <w:szCs w:val="24"/>
          <w:lang w:val="en-IE"/>
        </w:rPr>
      </w:pPr>
    </w:p>
    <w:p w14:paraId="4856B870" w14:textId="25C646B7" w:rsidR="00F31724" w:rsidRPr="00C41D6F" w:rsidRDefault="00F31724" w:rsidP="00921DCA">
      <w:pPr>
        <w:rPr>
          <w:b/>
          <w:sz w:val="24"/>
          <w:szCs w:val="24"/>
          <w:lang w:val="en-IE"/>
        </w:rPr>
      </w:pPr>
      <w:r w:rsidRPr="00C41D6F">
        <w:rPr>
          <w:b/>
          <w:sz w:val="24"/>
          <w:szCs w:val="24"/>
          <w:lang w:val="en-IE"/>
        </w:rPr>
        <w:t>Strategic Review</w:t>
      </w:r>
    </w:p>
    <w:p w14:paraId="429390CE" w14:textId="77777777" w:rsidR="00F31724" w:rsidRDefault="00F31724" w:rsidP="00921DCA">
      <w:pPr>
        <w:rPr>
          <w:sz w:val="24"/>
          <w:szCs w:val="24"/>
          <w:lang w:val="en-IE"/>
        </w:rPr>
      </w:pPr>
    </w:p>
    <w:p w14:paraId="1B994D0D" w14:textId="21B8F5FB" w:rsidR="00F31724" w:rsidRDefault="00F31724" w:rsidP="00921DCA">
      <w:pPr>
        <w:rPr>
          <w:sz w:val="24"/>
          <w:szCs w:val="24"/>
          <w:lang w:val="en-IE"/>
        </w:rPr>
      </w:pPr>
      <w:r w:rsidRPr="00C41D6F">
        <w:rPr>
          <w:sz w:val="24"/>
          <w:szCs w:val="24"/>
          <w:lang w:val="en-IE"/>
        </w:rPr>
        <w:t xml:space="preserve">Over the course of the year, </w:t>
      </w:r>
      <w:proofErr w:type="spellStart"/>
      <w:r w:rsidRPr="00C41D6F">
        <w:rPr>
          <w:sz w:val="24"/>
          <w:szCs w:val="24"/>
          <w:lang w:val="en-IE"/>
        </w:rPr>
        <w:t>Norish</w:t>
      </w:r>
      <w:proofErr w:type="spellEnd"/>
      <w:r w:rsidRPr="00C41D6F">
        <w:rPr>
          <w:sz w:val="24"/>
          <w:szCs w:val="24"/>
          <w:lang w:val="en-IE"/>
        </w:rPr>
        <w:t xml:space="preserve"> received a number of expressions of interest, from third parties, for some or all of </w:t>
      </w:r>
      <w:r w:rsidRPr="00F31724">
        <w:rPr>
          <w:sz w:val="24"/>
          <w:szCs w:val="24"/>
          <w:lang w:val="en-IE"/>
        </w:rPr>
        <w:t>its</w:t>
      </w:r>
      <w:r w:rsidRPr="00C41D6F">
        <w:rPr>
          <w:sz w:val="24"/>
          <w:szCs w:val="24"/>
          <w:lang w:val="en-IE"/>
        </w:rPr>
        <w:t xml:space="preserve"> cold stores.</w:t>
      </w:r>
      <w:r>
        <w:rPr>
          <w:sz w:val="24"/>
          <w:szCs w:val="24"/>
          <w:lang w:val="en-IE"/>
        </w:rPr>
        <w:t xml:space="preserve"> </w:t>
      </w:r>
      <w:r w:rsidRPr="00C41D6F">
        <w:rPr>
          <w:sz w:val="24"/>
          <w:szCs w:val="24"/>
          <w:lang w:val="en-IE"/>
        </w:rPr>
        <w:t xml:space="preserve">As a result, the board of </w:t>
      </w:r>
      <w:proofErr w:type="spellStart"/>
      <w:r w:rsidRPr="00C41D6F">
        <w:rPr>
          <w:sz w:val="24"/>
          <w:szCs w:val="24"/>
          <w:lang w:val="en-IE"/>
        </w:rPr>
        <w:t>Norish</w:t>
      </w:r>
      <w:proofErr w:type="spellEnd"/>
      <w:r w:rsidRPr="00C41D6F">
        <w:rPr>
          <w:sz w:val="24"/>
          <w:szCs w:val="24"/>
          <w:lang w:val="en-IE"/>
        </w:rPr>
        <w:t xml:space="preserve"> are now carrying out a strategic review in respect of all</w:t>
      </w:r>
      <w:r w:rsidR="0052419E">
        <w:rPr>
          <w:sz w:val="24"/>
          <w:szCs w:val="24"/>
          <w:lang w:val="en-IE"/>
        </w:rPr>
        <w:t xml:space="preserve"> </w:t>
      </w:r>
      <w:r w:rsidRPr="00C41D6F">
        <w:rPr>
          <w:sz w:val="24"/>
          <w:szCs w:val="24"/>
          <w:lang w:val="en-IE"/>
        </w:rPr>
        <w:t>of the assets and businesses within this division.</w:t>
      </w:r>
      <w:r w:rsidRPr="00C41D6F">
        <w:rPr>
          <w:sz w:val="24"/>
          <w:szCs w:val="24"/>
          <w:lang w:val="en-IE"/>
        </w:rPr>
        <w:br/>
        <w:t>The strategic review is at an early stage and the outcome cannot be determined at this time.</w:t>
      </w:r>
    </w:p>
    <w:p w14:paraId="5B742592" w14:textId="77777777" w:rsidR="00921DCA" w:rsidRDefault="00921DCA" w:rsidP="00921DCA">
      <w:pPr>
        <w:overflowPunct/>
        <w:autoSpaceDE/>
        <w:autoSpaceDN/>
        <w:adjustRightInd/>
        <w:jc w:val="both"/>
        <w:textAlignment w:val="auto"/>
        <w:outlineLvl w:val="0"/>
        <w:rPr>
          <w:b/>
          <w:sz w:val="22"/>
          <w:szCs w:val="22"/>
          <w:lang w:eastAsia="en-US"/>
        </w:rPr>
      </w:pPr>
    </w:p>
    <w:p w14:paraId="11D237F2" w14:textId="77777777" w:rsidR="00921DCA" w:rsidRPr="00544E49" w:rsidRDefault="00921DCA" w:rsidP="00921DCA">
      <w:pPr>
        <w:overflowPunct/>
        <w:autoSpaceDE/>
        <w:autoSpaceDN/>
        <w:adjustRightInd/>
        <w:jc w:val="both"/>
        <w:textAlignment w:val="auto"/>
        <w:rPr>
          <w:b/>
          <w:sz w:val="24"/>
          <w:szCs w:val="24"/>
          <w:lang w:eastAsia="en-US"/>
        </w:rPr>
      </w:pPr>
      <w:bookmarkStart w:id="2" w:name="_Hlk34367570"/>
      <w:r w:rsidRPr="00544E49">
        <w:rPr>
          <w:b/>
          <w:sz w:val="24"/>
          <w:szCs w:val="24"/>
          <w:lang w:eastAsia="en-US"/>
        </w:rPr>
        <w:t>Dividend</w:t>
      </w:r>
    </w:p>
    <w:p w14:paraId="48B8F397" w14:textId="77777777" w:rsidR="00921DCA" w:rsidRPr="00544E49" w:rsidRDefault="00921DCA" w:rsidP="00921DCA">
      <w:pPr>
        <w:overflowPunct/>
        <w:autoSpaceDE/>
        <w:autoSpaceDN/>
        <w:adjustRightInd/>
        <w:jc w:val="both"/>
        <w:textAlignment w:val="auto"/>
        <w:rPr>
          <w:b/>
          <w:sz w:val="24"/>
          <w:szCs w:val="24"/>
          <w:lang w:eastAsia="en-US"/>
        </w:rPr>
      </w:pPr>
    </w:p>
    <w:p w14:paraId="7A65B5ED" w14:textId="77777777" w:rsidR="00921DCA" w:rsidRPr="00B7276E" w:rsidRDefault="00921DCA" w:rsidP="00921DCA">
      <w:pPr>
        <w:numPr>
          <w:ilvl w:val="12"/>
          <w:numId w:val="0"/>
        </w:numPr>
        <w:overflowPunct/>
        <w:autoSpaceDE/>
        <w:autoSpaceDN/>
        <w:adjustRightInd/>
        <w:jc w:val="both"/>
        <w:textAlignment w:val="auto"/>
        <w:rPr>
          <w:sz w:val="24"/>
          <w:szCs w:val="24"/>
          <w:lang w:eastAsia="en-US"/>
        </w:rPr>
      </w:pPr>
      <w:bookmarkStart w:id="3" w:name="_Hlk34224818"/>
      <w:r w:rsidRPr="00B7276E">
        <w:rPr>
          <w:sz w:val="24"/>
          <w:szCs w:val="24"/>
          <w:lang w:eastAsia="en-US"/>
        </w:rPr>
        <w:t>The board recommends the payment of a final dividend of 2.0 €cent per share. This will be paid on 15 October 2021 to those shareholders on the register on the 24 September 2021. It will bring the total dividend in respect of the financial year to 2.0 €cent per share, against Nil €cent per share last year.</w:t>
      </w:r>
    </w:p>
    <w:bookmarkEnd w:id="3"/>
    <w:p w14:paraId="2B014FA4" w14:textId="77777777" w:rsidR="00921DCA" w:rsidRPr="00B7276E" w:rsidRDefault="00921DCA" w:rsidP="00921DCA">
      <w:pPr>
        <w:overflowPunct/>
        <w:autoSpaceDE/>
        <w:autoSpaceDN/>
        <w:adjustRightInd/>
        <w:jc w:val="both"/>
        <w:textAlignment w:val="auto"/>
        <w:rPr>
          <w:b/>
          <w:sz w:val="24"/>
          <w:szCs w:val="24"/>
          <w:lang w:eastAsia="en-US"/>
        </w:rPr>
      </w:pPr>
    </w:p>
    <w:p w14:paraId="3168C41D" w14:textId="77777777" w:rsidR="00921DCA" w:rsidRPr="00544E49" w:rsidRDefault="00921DCA" w:rsidP="00921DCA">
      <w:pPr>
        <w:overflowPunct/>
        <w:autoSpaceDE/>
        <w:autoSpaceDN/>
        <w:adjustRightInd/>
        <w:jc w:val="both"/>
        <w:textAlignment w:val="auto"/>
        <w:rPr>
          <w:noProof/>
          <w:sz w:val="24"/>
          <w:szCs w:val="24"/>
          <w:lang w:eastAsia="en-GB"/>
        </w:rPr>
      </w:pPr>
      <w:r w:rsidRPr="00B7276E">
        <w:rPr>
          <w:sz w:val="24"/>
          <w:szCs w:val="24"/>
          <w:lang w:eastAsia="en-US"/>
        </w:rPr>
        <w:t>On behalf of the board, I would like to thank the management team and staff for their commitment and contribution in 2020.</w:t>
      </w:r>
      <w:r w:rsidRPr="00544E49">
        <w:rPr>
          <w:sz w:val="24"/>
          <w:szCs w:val="24"/>
          <w:lang w:eastAsia="en-US"/>
        </w:rPr>
        <w:t xml:space="preserve"> </w:t>
      </w:r>
    </w:p>
    <w:bookmarkEnd w:id="2"/>
    <w:p w14:paraId="518491BF" w14:textId="77777777" w:rsidR="00921DCA" w:rsidRPr="005C1301" w:rsidRDefault="00921DCA" w:rsidP="00921DCA">
      <w:pPr>
        <w:suppressAutoHyphens/>
        <w:overflowPunct/>
        <w:spacing w:line="288" w:lineRule="auto"/>
        <w:textAlignment w:val="center"/>
        <w:rPr>
          <w:b/>
          <w:sz w:val="22"/>
          <w:szCs w:val="22"/>
        </w:rPr>
      </w:pPr>
    </w:p>
    <w:p w14:paraId="65D834FC" w14:textId="77777777" w:rsidR="00921DCA" w:rsidRPr="00D80BA9" w:rsidRDefault="00921DCA" w:rsidP="00921DCA">
      <w:pPr>
        <w:rPr>
          <w:noProof/>
          <w:sz w:val="22"/>
          <w:szCs w:val="22"/>
          <w:highlight w:val="yellow"/>
          <w:lang w:eastAsia="en-GB"/>
        </w:rPr>
      </w:pPr>
      <w:r w:rsidRPr="007C0659">
        <w:rPr>
          <w:noProof/>
          <w:sz w:val="22"/>
          <w:szCs w:val="22"/>
          <w:lang w:val="en-IE"/>
        </w:rPr>
        <w:drawing>
          <wp:inline distT="0" distB="0" distL="0" distR="0" wp14:anchorId="74CB02AD" wp14:editId="2B3295BE">
            <wp:extent cx="1653540" cy="495300"/>
            <wp:effectExtent l="19050" t="0" r="3810" b="0"/>
            <wp:docPr id="8" name="Picture 0" descr="Ted Oneil_Signat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ed Oneil_Signatures.jpg"/>
                    <pic:cNvPicPr>
                      <a:picLocks noChangeAspect="1" noChangeArrowheads="1"/>
                    </pic:cNvPicPr>
                  </pic:nvPicPr>
                  <pic:blipFill>
                    <a:blip r:embed="rId7" cstate="print"/>
                    <a:srcRect/>
                    <a:stretch>
                      <a:fillRect/>
                    </a:stretch>
                  </pic:blipFill>
                  <pic:spPr bwMode="auto">
                    <a:xfrm>
                      <a:off x="0" y="0"/>
                      <a:ext cx="1653540" cy="495300"/>
                    </a:xfrm>
                    <a:prstGeom prst="rect">
                      <a:avLst/>
                    </a:prstGeom>
                    <a:noFill/>
                    <a:ln w="9525">
                      <a:noFill/>
                      <a:miter lim="800000"/>
                      <a:headEnd/>
                      <a:tailEnd/>
                    </a:ln>
                  </pic:spPr>
                </pic:pic>
              </a:graphicData>
            </a:graphic>
          </wp:inline>
        </w:drawing>
      </w:r>
    </w:p>
    <w:p w14:paraId="32759744" w14:textId="77777777" w:rsidR="00921DCA" w:rsidRPr="00D80BA9" w:rsidRDefault="00921DCA" w:rsidP="00921DCA">
      <w:pPr>
        <w:rPr>
          <w:noProof/>
          <w:sz w:val="22"/>
          <w:szCs w:val="22"/>
          <w:highlight w:val="yellow"/>
          <w:lang w:eastAsia="en-GB"/>
        </w:rPr>
      </w:pPr>
    </w:p>
    <w:p w14:paraId="6438DEDF" w14:textId="77777777" w:rsidR="00921DCA" w:rsidRPr="00345B19" w:rsidRDefault="00921DCA" w:rsidP="00921DCA">
      <w:pPr>
        <w:numPr>
          <w:ilvl w:val="12"/>
          <w:numId w:val="0"/>
        </w:numPr>
        <w:rPr>
          <w:b/>
          <w:sz w:val="22"/>
          <w:lang w:val="en-US"/>
        </w:rPr>
      </w:pPr>
      <w:r w:rsidRPr="00345B19">
        <w:rPr>
          <w:b/>
          <w:sz w:val="22"/>
          <w:lang w:val="en-US"/>
        </w:rPr>
        <w:t>Ted O’Neill</w:t>
      </w:r>
    </w:p>
    <w:p w14:paraId="6B5AC5B2" w14:textId="4FC15FE5" w:rsidR="00BF6318" w:rsidRDefault="00B7276E" w:rsidP="00BF6318">
      <w:pPr>
        <w:numPr>
          <w:ilvl w:val="12"/>
          <w:numId w:val="0"/>
        </w:numPr>
        <w:rPr>
          <w:b/>
          <w:sz w:val="22"/>
          <w:lang w:val="en-US"/>
        </w:rPr>
      </w:pPr>
      <w:r>
        <w:rPr>
          <w:b/>
          <w:sz w:val="22"/>
          <w:lang w:val="en-US"/>
        </w:rPr>
        <w:t>11</w:t>
      </w:r>
      <w:r w:rsidR="00BF6318" w:rsidRPr="005C1301">
        <w:rPr>
          <w:b/>
          <w:sz w:val="22"/>
          <w:lang w:val="en-US"/>
        </w:rPr>
        <w:t xml:space="preserve"> March 20</w:t>
      </w:r>
      <w:r w:rsidR="00BF6318">
        <w:rPr>
          <w:b/>
          <w:sz w:val="22"/>
          <w:lang w:val="en-US"/>
        </w:rPr>
        <w:t>21</w:t>
      </w:r>
    </w:p>
    <w:p w14:paraId="4888B97F" w14:textId="404106CB" w:rsidR="00A461A9" w:rsidRDefault="00A461A9" w:rsidP="00BF6318">
      <w:pPr>
        <w:numPr>
          <w:ilvl w:val="12"/>
          <w:numId w:val="0"/>
        </w:numPr>
        <w:rPr>
          <w:b/>
          <w:sz w:val="22"/>
          <w:lang w:val="en-US"/>
        </w:rPr>
      </w:pPr>
    </w:p>
    <w:p w14:paraId="19AE626E" w14:textId="5202D0C7" w:rsidR="00A461A9" w:rsidRDefault="00A461A9" w:rsidP="00BF6318">
      <w:pPr>
        <w:numPr>
          <w:ilvl w:val="12"/>
          <w:numId w:val="0"/>
        </w:numPr>
        <w:rPr>
          <w:b/>
          <w:sz w:val="22"/>
          <w:lang w:val="en-US"/>
        </w:rPr>
      </w:pPr>
    </w:p>
    <w:p w14:paraId="511052AF" w14:textId="77777777" w:rsidR="00A461A9" w:rsidRDefault="00A461A9" w:rsidP="00BF6318">
      <w:pPr>
        <w:numPr>
          <w:ilvl w:val="12"/>
          <w:numId w:val="0"/>
        </w:numPr>
        <w:rPr>
          <w:b/>
          <w:sz w:val="22"/>
          <w:lang w:val="en-US"/>
        </w:rPr>
      </w:pPr>
    </w:p>
    <w:p w14:paraId="0817C257" w14:textId="77777777" w:rsidR="00921DCA" w:rsidRDefault="00921DCA" w:rsidP="00BF6318">
      <w:pPr>
        <w:numPr>
          <w:ilvl w:val="12"/>
          <w:numId w:val="0"/>
        </w:numPr>
        <w:rPr>
          <w:b/>
          <w:sz w:val="22"/>
          <w:lang w:val="en-US"/>
        </w:rPr>
      </w:pPr>
    </w:p>
    <w:p w14:paraId="550ED3DB" w14:textId="77777777" w:rsidR="00BF6318" w:rsidRPr="0006489A" w:rsidRDefault="00BF6318" w:rsidP="00BF6318">
      <w:pPr>
        <w:pBdr>
          <w:bottom w:val="single" w:sz="8" w:space="5" w:color="000000"/>
        </w:pBdr>
        <w:suppressAutoHyphens/>
        <w:overflowPunct/>
        <w:spacing w:line="288" w:lineRule="auto"/>
        <w:textAlignment w:val="center"/>
        <w:rPr>
          <w:rFonts w:ascii="Arial" w:hAnsi="Arial" w:cs="Arial"/>
          <w:b/>
          <w:bCs/>
          <w:caps/>
          <w:color w:val="000000"/>
          <w:sz w:val="30"/>
          <w:szCs w:val="30"/>
          <w:lang w:eastAsia="en-GB"/>
        </w:rPr>
      </w:pPr>
      <w:r>
        <w:rPr>
          <w:rFonts w:ascii="Arial" w:hAnsi="Arial" w:cs="Arial"/>
          <w:b/>
          <w:bCs/>
          <w:caps/>
          <w:color w:val="000000"/>
          <w:sz w:val="30"/>
          <w:szCs w:val="30"/>
          <w:lang w:eastAsia="en-GB"/>
        </w:rPr>
        <w:t>Financial Review</w:t>
      </w:r>
    </w:p>
    <w:p w14:paraId="34E25805" w14:textId="77777777" w:rsidR="00BF6318" w:rsidRDefault="00BF6318" w:rsidP="00BF6318"/>
    <w:p w14:paraId="6B26364A" w14:textId="0CC6288A" w:rsidR="00921DCA" w:rsidRPr="00B96774" w:rsidRDefault="00921DCA" w:rsidP="00921DCA">
      <w:pPr>
        <w:jc w:val="both"/>
        <w:rPr>
          <w:b/>
          <w:bCs/>
          <w:color w:val="000000"/>
          <w:sz w:val="22"/>
          <w:szCs w:val="22"/>
        </w:rPr>
      </w:pPr>
      <w:r w:rsidRPr="001E335B">
        <w:rPr>
          <w:b/>
          <w:bCs/>
          <w:color w:val="000000"/>
          <w:sz w:val="22"/>
          <w:szCs w:val="22"/>
        </w:rPr>
        <w:t xml:space="preserve">The average cold store occupancy decreased from 95% to 87%, pallets received decreased 19% and blast freezing throughput decreased 8%. </w:t>
      </w:r>
    </w:p>
    <w:p w14:paraId="33FDAC9F" w14:textId="77777777" w:rsidR="00921DCA" w:rsidRPr="00B96774" w:rsidRDefault="00921DCA" w:rsidP="00921DCA">
      <w:pPr>
        <w:overflowPunct/>
        <w:autoSpaceDE/>
        <w:autoSpaceDN/>
        <w:adjustRightInd/>
        <w:jc w:val="both"/>
        <w:textAlignment w:val="auto"/>
        <w:rPr>
          <w:b/>
          <w:bCs/>
          <w:color w:val="000000"/>
          <w:sz w:val="22"/>
          <w:szCs w:val="22"/>
        </w:rPr>
      </w:pPr>
    </w:p>
    <w:p w14:paraId="25D40D6E" w14:textId="77777777" w:rsidR="00921DCA" w:rsidRPr="00B96774" w:rsidRDefault="00921DCA" w:rsidP="00921DCA">
      <w:pPr>
        <w:overflowPunct/>
        <w:autoSpaceDE/>
        <w:autoSpaceDN/>
        <w:adjustRightInd/>
        <w:jc w:val="both"/>
        <w:textAlignment w:val="auto"/>
        <w:rPr>
          <w:b/>
          <w:bCs/>
          <w:color w:val="000000"/>
          <w:sz w:val="22"/>
          <w:szCs w:val="22"/>
        </w:rPr>
      </w:pPr>
    </w:p>
    <w:p w14:paraId="5313FB3E" w14:textId="77777777" w:rsidR="00921DCA" w:rsidRPr="00B96774" w:rsidRDefault="00921DCA" w:rsidP="00921DCA">
      <w:pPr>
        <w:overflowPunct/>
        <w:autoSpaceDE/>
        <w:autoSpaceDN/>
        <w:adjustRightInd/>
        <w:jc w:val="both"/>
        <w:textAlignment w:val="auto"/>
        <w:rPr>
          <w:b/>
          <w:bCs/>
          <w:color w:val="000000"/>
          <w:sz w:val="22"/>
          <w:szCs w:val="22"/>
          <w:u w:val="single"/>
        </w:rPr>
      </w:pPr>
      <w:r w:rsidRPr="00B96774">
        <w:rPr>
          <w:b/>
          <w:bCs/>
          <w:color w:val="000000"/>
          <w:sz w:val="22"/>
          <w:szCs w:val="22"/>
          <w:u w:val="single"/>
        </w:rPr>
        <w:t>Sales</w:t>
      </w:r>
    </w:p>
    <w:p w14:paraId="409A61E6" w14:textId="77777777" w:rsidR="00921DCA" w:rsidRPr="00B96774" w:rsidRDefault="00921DCA" w:rsidP="00921DCA">
      <w:pPr>
        <w:overflowPunct/>
        <w:autoSpaceDE/>
        <w:autoSpaceDN/>
        <w:adjustRightInd/>
        <w:jc w:val="both"/>
        <w:textAlignment w:val="auto"/>
        <w:rPr>
          <w:b/>
          <w:bCs/>
          <w:color w:val="000000"/>
          <w:sz w:val="22"/>
          <w:szCs w:val="22"/>
        </w:rPr>
      </w:pPr>
      <w:r w:rsidRPr="00B96774">
        <w:rPr>
          <w:b/>
          <w:bCs/>
          <w:color w:val="000000"/>
          <w:sz w:val="22"/>
          <w:szCs w:val="22"/>
        </w:rPr>
        <w:t> </w:t>
      </w:r>
    </w:p>
    <w:p w14:paraId="7DAA8F5D" w14:textId="0B2B0F44" w:rsidR="00921DCA" w:rsidRPr="00B96774" w:rsidRDefault="00921DCA" w:rsidP="00921DCA">
      <w:pPr>
        <w:overflowPunct/>
        <w:autoSpaceDE/>
        <w:autoSpaceDN/>
        <w:adjustRightInd/>
        <w:jc w:val="both"/>
        <w:textAlignment w:val="auto"/>
        <w:rPr>
          <w:color w:val="000000"/>
          <w:sz w:val="22"/>
          <w:szCs w:val="22"/>
        </w:rPr>
      </w:pPr>
      <w:r w:rsidRPr="004A4AA7">
        <w:rPr>
          <w:color w:val="000000"/>
          <w:sz w:val="22"/>
          <w:szCs w:val="22"/>
        </w:rPr>
        <w:t xml:space="preserve">Total Group revenue decreased by </w:t>
      </w:r>
      <w:r>
        <w:rPr>
          <w:color w:val="000000"/>
          <w:sz w:val="22"/>
          <w:szCs w:val="22"/>
        </w:rPr>
        <w:t>2</w:t>
      </w:r>
      <w:r w:rsidRPr="004A4AA7">
        <w:rPr>
          <w:color w:val="000000"/>
          <w:sz w:val="22"/>
          <w:szCs w:val="22"/>
        </w:rPr>
        <w:t>% to £</w:t>
      </w:r>
      <w:r>
        <w:rPr>
          <w:color w:val="000000"/>
          <w:sz w:val="22"/>
          <w:szCs w:val="22"/>
        </w:rPr>
        <w:t>33.4m</w:t>
      </w:r>
      <w:r w:rsidRPr="004A4AA7">
        <w:rPr>
          <w:color w:val="000000"/>
          <w:sz w:val="22"/>
          <w:szCs w:val="22"/>
        </w:rPr>
        <w:t xml:space="preserve"> (2019: £34.1m). Cold store revenues </w:t>
      </w:r>
      <w:r>
        <w:rPr>
          <w:color w:val="000000"/>
          <w:sz w:val="22"/>
          <w:szCs w:val="22"/>
        </w:rPr>
        <w:t>decreased</w:t>
      </w:r>
      <w:r w:rsidRPr="004A4AA7">
        <w:rPr>
          <w:color w:val="000000"/>
          <w:sz w:val="22"/>
          <w:szCs w:val="22"/>
        </w:rPr>
        <w:t xml:space="preserve"> by </w:t>
      </w:r>
      <w:r>
        <w:rPr>
          <w:color w:val="000000"/>
          <w:sz w:val="22"/>
          <w:szCs w:val="22"/>
        </w:rPr>
        <w:t>3.3</w:t>
      </w:r>
      <w:r w:rsidRPr="004A4AA7">
        <w:rPr>
          <w:color w:val="000000"/>
          <w:sz w:val="22"/>
          <w:szCs w:val="22"/>
        </w:rPr>
        <w:t>% to £</w:t>
      </w:r>
      <w:r>
        <w:rPr>
          <w:color w:val="000000"/>
          <w:sz w:val="22"/>
          <w:szCs w:val="22"/>
        </w:rPr>
        <w:t>14.6m</w:t>
      </w:r>
      <w:r w:rsidRPr="004A4AA7">
        <w:rPr>
          <w:color w:val="000000"/>
          <w:sz w:val="22"/>
          <w:szCs w:val="22"/>
        </w:rPr>
        <w:t xml:space="preserve"> (2019: £15.1m).  Revenues were mainly </w:t>
      </w:r>
      <w:r>
        <w:rPr>
          <w:color w:val="000000"/>
          <w:sz w:val="22"/>
          <w:szCs w:val="22"/>
        </w:rPr>
        <w:t>down</w:t>
      </w:r>
      <w:r w:rsidRPr="004A4AA7">
        <w:rPr>
          <w:color w:val="000000"/>
          <w:sz w:val="22"/>
          <w:szCs w:val="22"/>
        </w:rPr>
        <w:t xml:space="preserve"> on the </w:t>
      </w:r>
      <w:r>
        <w:rPr>
          <w:color w:val="000000"/>
          <w:sz w:val="22"/>
          <w:szCs w:val="22"/>
        </w:rPr>
        <w:t>lower</w:t>
      </w:r>
      <w:r w:rsidRPr="004A4AA7">
        <w:rPr>
          <w:color w:val="000000"/>
          <w:sz w:val="22"/>
          <w:szCs w:val="22"/>
        </w:rPr>
        <w:t xml:space="preserve"> pallets received and </w:t>
      </w:r>
      <w:r w:rsidR="0019363A">
        <w:rPr>
          <w:color w:val="000000"/>
          <w:sz w:val="22"/>
          <w:szCs w:val="22"/>
        </w:rPr>
        <w:t xml:space="preserve">lower </w:t>
      </w:r>
      <w:r w:rsidRPr="004A4AA7">
        <w:rPr>
          <w:color w:val="000000"/>
          <w:sz w:val="22"/>
          <w:szCs w:val="22"/>
        </w:rPr>
        <w:t xml:space="preserve">blast freezing volumes. Revenues in the sourcing division decreased by </w:t>
      </w:r>
      <w:r>
        <w:rPr>
          <w:color w:val="000000"/>
          <w:sz w:val="22"/>
          <w:szCs w:val="22"/>
        </w:rPr>
        <w:t>2.2</w:t>
      </w:r>
      <w:r w:rsidRPr="004A4AA7">
        <w:rPr>
          <w:color w:val="000000"/>
          <w:sz w:val="22"/>
          <w:szCs w:val="22"/>
        </w:rPr>
        <w:t>% to £</w:t>
      </w:r>
      <w:r>
        <w:rPr>
          <w:color w:val="000000"/>
          <w:sz w:val="22"/>
          <w:szCs w:val="22"/>
        </w:rPr>
        <w:t>17.8m</w:t>
      </w:r>
      <w:r w:rsidRPr="004A4AA7">
        <w:rPr>
          <w:color w:val="000000"/>
          <w:sz w:val="22"/>
          <w:szCs w:val="22"/>
        </w:rPr>
        <w:t xml:space="preserve"> (2019: £</w:t>
      </w:r>
      <w:r>
        <w:rPr>
          <w:color w:val="000000"/>
          <w:sz w:val="22"/>
          <w:szCs w:val="22"/>
        </w:rPr>
        <w:t>18.2m</w:t>
      </w:r>
      <w:r w:rsidRPr="004A4AA7">
        <w:rPr>
          <w:color w:val="000000"/>
          <w:sz w:val="22"/>
          <w:szCs w:val="22"/>
        </w:rPr>
        <w:t xml:space="preserve">). </w:t>
      </w:r>
    </w:p>
    <w:p w14:paraId="134AE8AF" w14:textId="77777777" w:rsidR="00921DCA" w:rsidRPr="00B96774" w:rsidRDefault="00921DCA" w:rsidP="00921DCA">
      <w:pPr>
        <w:overflowPunct/>
        <w:autoSpaceDE/>
        <w:autoSpaceDN/>
        <w:adjustRightInd/>
        <w:jc w:val="both"/>
        <w:textAlignment w:val="auto"/>
        <w:rPr>
          <w:color w:val="000000"/>
          <w:sz w:val="22"/>
          <w:szCs w:val="22"/>
        </w:rPr>
      </w:pPr>
    </w:p>
    <w:p w14:paraId="3BCD4BD4" w14:textId="77777777" w:rsidR="00921DCA" w:rsidRPr="00B96774" w:rsidRDefault="00921DCA" w:rsidP="00921DCA">
      <w:pPr>
        <w:overflowPunct/>
        <w:autoSpaceDE/>
        <w:autoSpaceDN/>
        <w:adjustRightInd/>
        <w:jc w:val="both"/>
        <w:textAlignment w:val="auto"/>
        <w:rPr>
          <w:b/>
          <w:color w:val="000000"/>
          <w:sz w:val="22"/>
          <w:szCs w:val="22"/>
          <w:u w:val="single"/>
        </w:rPr>
      </w:pPr>
      <w:r w:rsidRPr="00B96774">
        <w:rPr>
          <w:b/>
          <w:color w:val="000000"/>
          <w:sz w:val="22"/>
          <w:szCs w:val="22"/>
          <w:u w:val="single"/>
        </w:rPr>
        <w:t>Gross profit</w:t>
      </w:r>
    </w:p>
    <w:p w14:paraId="4DE2DE14" w14:textId="77777777" w:rsidR="00921DCA" w:rsidRPr="00B96774" w:rsidRDefault="00921DCA" w:rsidP="00921DCA">
      <w:pPr>
        <w:overflowPunct/>
        <w:autoSpaceDE/>
        <w:autoSpaceDN/>
        <w:adjustRightInd/>
        <w:jc w:val="both"/>
        <w:textAlignment w:val="auto"/>
        <w:rPr>
          <w:b/>
          <w:color w:val="000000"/>
          <w:sz w:val="22"/>
          <w:szCs w:val="22"/>
          <w:u w:val="single"/>
        </w:rPr>
      </w:pPr>
    </w:p>
    <w:p w14:paraId="136E8BD8" w14:textId="6462EC3E" w:rsidR="00921DCA" w:rsidRPr="00B96774" w:rsidRDefault="00921DCA" w:rsidP="00921DCA">
      <w:pPr>
        <w:overflowPunct/>
        <w:autoSpaceDE/>
        <w:autoSpaceDN/>
        <w:adjustRightInd/>
        <w:jc w:val="both"/>
        <w:textAlignment w:val="auto"/>
        <w:rPr>
          <w:color w:val="000000"/>
          <w:sz w:val="22"/>
          <w:szCs w:val="22"/>
        </w:rPr>
      </w:pPr>
      <w:r w:rsidRPr="0015298E">
        <w:rPr>
          <w:color w:val="000000"/>
          <w:sz w:val="22"/>
          <w:szCs w:val="22"/>
        </w:rPr>
        <w:t xml:space="preserve">Gross profit </w:t>
      </w:r>
      <w:r>
        <w:rPr>
          <w:color w:val="000000"/>
          <w:sz w:val="22"/>
          <w:szCs w:val="22"/>
        </w:rPr>
        <w:t>decreased</w:t>
      </w:r>
      <w:r w:rsidRPr="0015298E">
        <w:rPr>
          <w:color w:val="000000"/>
          <w:sz w:val="22"/>
          <w:szCs w:val="22"/>
        </w:rPr>
        <w:t xml:space="preserve"> by 1</w:t>
      </w:r>
      <w:r w:rsidR="001112A7">
        <w:rPr>
          <w:color w:val="000000"/>
          <w:sz w:val="22"/>
          <w:szCs w:val="22"/>
        </w:rPr>
        <w:t>2</w:t>
      </w:r>
      <w:r w:rsidRPr="0015298E">
        <w:rPr>
          <w:color w:val="000000"/>
          <w:sz w:val="22"/>
          <w:szCs w:val="22"/>
        </w:rPr>
        <w:t>% to £</w:t>
      </w:r>
      <w:r>
        <w:rPr>
          <w:color w:val="000000"/>
          <w:sz w:val="22"/>
          <w:szCs w:val="22"/>
        </w:rPr>
        <w:t>2.97</w:t>
      </w:r>
      <w:r w:rsidRPr="0015298E">
        <w:rPr>
          <w:color w:val="000000"/>
          <w:sz w:val="22"/>
          <w:szCs w:val="22"/>
        </w:rPr>
        <w:t>m (2019: £3.</w:t>
      </w:r>
      <w:r w:rsidR="001112A7">
        <w:rPr>
          <w:color w:val="000000"/>
          <w:sz w:val="22"/>
          <w:szCs w:val="22"/>
        </w:rPr>
        <w:t>37</w:t>
      </w:r>
      <w:r w:rsidRPr="0015298E">
        <w:rPr>
          <w:color w:val="000000"/>
          <w:sz w:val="22"/>
          <w:szCs w:val="22"/>
        </w:rPr>
        <w:t>m).</w:t>
      </w:r>
      <w:r w:rsidRPr="00B96774">
        <w:rPr>
          <w:color w:val="000000"/>
          <w:sz w:val="22"/>
          <w:szCs w:val="22"/>
        </w:rPr>
        <w:t xml:space="preserve"> </w:t>
      </w:r>
    </w:p>
    <w:p w14:paraId="12F7AA80" w14:textId="77777777" w:rsidR="00921DCA" w:rsidRPr="00B96774" w:rsidRDefault="00921DCA" w:rsidP="00921DCA">
      <w:pPr>
        <w:overflowPunct/>
        <w:autoSpaceDE/>
        <w:autoSpaceDN/>
        <w:adjustRightInd/>
        <w:jc w:val="both"/>
        <w:textAlignment w:val="auto"/>
        <w:rPr>
          <w:color w:val="000000"/>
          <w:sz w:val="22"/>
          <w:szCs w:val="22"/>
        </w:rPr>
      </w:pPr>
    </w:p>
    <w:p w14:paraId="4254997C" w14:textId="77777777" w:rsidR="00921DCA" w:rsidRPr="00B96774" w:rsidRDefault="00921DCA" w:rsidP="00921DCA">
      <w:pPr>
        <w:overflowPunct/>
        <w:autoSpaceDE/>
        <w:autoSpaceDN/>
        <w:adjustRightInd/>
        <w:jc w:val="both"/>
        <w:textAlignment w:val="auto"/>
        <w:rPr>
          <w:b/>
          <w:color w:val="000000"/>
          <w:sz w:val="22"/>
          <w:szCs w:val="22"/>
          <w:u w:val="single"/>
        </w:rPr>
      </w:pPr>
      <w:r w:rsidRPr="00B96774">
        <w:rPr>
          <w:b/>
          <w:color w:val="000000"/>
          <w:sz w:val="22"/>
          <w:szCs w:val="22"/>
          <w:u w:val="single"/>
        </w:rPr>
        <w:t>Operating profit</w:t>
      </w:r>
    </w:p>
    <w:p w14:paraId="42911199" w14:textId="77777777" w:rsidR="00921DCA" w:rsidRPr="00B96774" w:rsidRDefault="00921DCA" w:rsidP="00921DCA">
      <w:pPr>
        <w:overflowPunct/>
        <w:autoSpaceDE/>
        <w:autoSpaceDN/>
        <w:adjustRightInd/>
        <w:jc w:val="both"/>
        <w:textAlignment w:val="auto"/>
        <w:rPr>
          <w:b/>
          <w:color w:val="000000"/>
          <w:sz w:val="22"/>
          <w:szCs w:val="22"/>
          <w:u w:val="single"/>
        </w:rPr>
      </w:pPr>
    </w:p>
    <w:p w14:paraId="525CF578" w14:textId="77777777" w:rsidR="00921DCA" w:rsidRPr="00B96774" w:rsidRDefault="00921DCA" w:rsidP="00921DCA">
      <w:pPr>
        <w:overflowPunct/>
        <w:autoSpaceDE/>
        <w:autoSpaceDN/>
        <w:adjustRightInd/>
        <w:jc w:val="both"/>
        <w:textAlignment w:val="auto"/>
        <w:rPr>
          <w:color w:val="000000"/>
          <w:sz w:val="22"/>
          <w:szCs w:val="22"/>
        </w:rPr>
      </w:pPr>
      <w:r w:rsidRPr="0015298E">
        <w:rPr>
          <w:color w:val="000000"/>
          <w:sz w:val="22"/>
          <w:szCs w:val="22"/>
        </w:rPr>
        <w:t>Operating profit decreased by 1</w:t>
      </w:r>
      <w:r>
        <w:rPr>
          <w:color w:val="000000"/>
          <w:sz w:val="22"/>
          <w:szCs w:val="22"/>
        </w:rPr>
        <w:t>4</w:t>
      </w:r>
      <w:r w:rsidRPr="0015298E">
        <w:rPr>
          <w:color w:val="000000"/>
          <w:sz w:val="22"/>
          <w:szCs w:val="22"/>
        </w:rPr>
        <w:t>% to £2.</w:t>
      </w:r>
      <w:r>
        <w:rPr>
          <w:color w:val="000000"/>
          <w:sz w:val="22"/>
          <w:szCs w:val="22"/>
        </w:rPr>
        <w:t>29</w:t>
      </w:r>
      <w:r w:rsidRPr="0015298E">
        <w:rPr>
          <w:color w:val="000000"/>
          <w:sz w:val="22"/>
          <w:szCs w:val="22"/>
        </w:rPr>
        <w:t>m (2019: £2.66m).</w:t>
      </w:r>
      <w:r w:rsidRPr="00B96774">
        <w:rPr>
          <w:color w:val="000000"/>
          <w:sz w:val="22"/>
          <w:szCs w:val="22"/>
        </w:rPr>
        <w:t xml:space="preserve"> </w:t>
      </w:r>
    </w:p>
    <w:p w14:paraId="5341E318" w14:textId="77777777" w:rsidR="00921DCA" w:rsidRPr="00B96774" w:rsidRDefault="00921DCA" w:rsidP="00921DCA">
      <w:pPr>
        <w:overflowPunct/>
        <w:autoSpaceDE/>
        <w:autoSpaceDN/>
        <w:adjustRightInd/>
        <w:jc w:val="both"/>
        <w:textAlignment w:val="auto"/>
        <w:rPr>
          <w:color w:val="000000"/>
          <w:sz w:val="22"/>
          <w:szCs w:val="22"/>
        </w:rPr>
      </w:pPr>
    </w:p>
    <w:p w14:paraId="21B1FC24" w14:textId="77777777" w:rsidR="00921DCA" w:rsidRPr="00B96774" w:rsidRDefault="00921DCA" w:rsidP="00921DCA">
      <w:pPr>
        <w:overflowPunct/>
        <w:autoSpaceDE/>
        <w:autoSpaceDN/>
        <w:adjustRightInd/>
        <w:jc w:val="both"/>
        <w:textAlignment w:val="auto"/>
        <w:rPr>
          <w:b/>
          <w:color w:val="000000"/>
          <w:sz w:val="22"/>
          <w:szCs w:val="22"/>
        </w:rPr>
      </w:pPr>
      <w:r w:rsidRPr="00B96774">
        <w:rPr>
          <w:b/>
          <w:color w:val="000000"/>
          <w:sz w:val="22"/>
          <w:szCs w:val="22"/>
          <w:u w:val="single"/>
        </w:rPr>
        <w:t>Finance expense (net</w:t>
      </w:r>
      <w:r w:rsidRPr="00B96774">
        <w:rPr>
          <w:b/>
          <w:color w:val="000000"/>
          <w:sz w:val="22"/>
          <w:szCs w:val="22"/>
        </w:rPr>
        <w:t>)</w:t>
      </w:r>
    </w:p>
    <w:p w14:paraId="4422C48C" w14:textId="77777777" w:rsidR="00921DCA" w:rsidRPr="00B96774" w:rsidRDefault="00921DCA" w:rsidP="00921DCA">
      <w:pPr>
        <w:overflowPunct/>
        <w:autoSpaceDE/>
        <w:autoSpaceDN/>
        <w:adjustRightInd/>
        <w:jc w:val="both"/>
        <w:textAlignment w:val="auto"/>
        <w:rPr>
          <w:color w:val="000000"/>
          <w:sz w:val="22"/>
          <w:szCs w:val="22"/>
        </w:rPr>
      </w:pPr>
    </w:p>
    <w:p w14:paraId="04DB160A" w14:textId="77777777" w:rsidR="00921DCA" w:rsidRPr="00B96774" w:rsidRDefault="00921DCA" w:rsidP="00921DCA">
      <w:pPr>
        <w:overflowPunct/>
        <w:autoSpaceDE/>
        <w:autoSpaceDN/>
        <w:adjustRightInd/>
        <w:jc w:val="both"/>
        <w:textAlignment w:val="auto"/>
        <w:rPr>
          <w:color w:val="000000"/>
          <w:sz w:val="22"/>
          <w:szCs w:val="22"/>
        </w:rPr>
      </w:pPr>
      <w:r w:rsidRPr="001E335B">
        <w:rPr>
          <w:color w:val="000000"/>
          <w:sz w:val="22"/>
          <w:szCs w:val="22"/>
        </w:rPr>
        <w:t>Finance expense decreased to £0.31m (2019: £0.35m).</w:t>
      </w:r>
      <w:r w:rsidRPr="00B96774">
        <w:rPr>
          <w:color w:val="000000"/>
          <w:sz w:val="22"/>
          <w:szCs w:val="22"/>
        </w:rPr>
        <w:t xml:space="preserve"> </w:t>
      </w:r>
    </w:p>
    <w:p w14:paraId="63E935AD" w14:textId="77777777" w:rsidR="00921DCA" w:rsidRPr="00B96774" w:rsidRDefault="00921DCA" w:rsidP="00921DCA">
      <w:pPr>
        <w:overflowPunct/>
        <w:autoSpaceDE/>
        <w:autoSpaceDN/>
        <w:adjustRightInd/>
        <w:jc w:val="both"/>
        <w:textAlignment w:val="auto"/>
        <w:rPr>
          <w:color w:val="000000"/>
          <w:sz w:val="22"/>
          <w:szCs w:val="22"/>
        </w:rPr>
      </w:pPr>
    </w:p>
    <w:p w14:paraId="04BD28F5" w14:textId="77777777" w:rsidR="00921DCA" w:rsidRPr="00B96774" w:rsidRDefault="00921DCA" w:rsidP="00921DCA">
      <w:pPr>
        <w:overflowPunct/>
        <w:autoSpaceDE/>
        <w:autoSpaceDN/>
        <w:adjustRightInd/>
        <w:jc w:val="both"/>
        <w:textAlignment w:val="auto"/>
        <w:rPr>
          <w:b/>
          <w:color w:val="000000"/>
          <w:sz w:val="22"/>
          <w:szCs w:val="22"/>
        </w:rPr>
      </w:pPr>
      <w:bookmarkStart w:id="4" w:name="_Hlk2770565"/>
      <w:r w:rsidRPr="00B96774">
        <w:rPr>
          <w:b/>
          <w:color w:val="000000"/>
          <w:sz w:val="22"/>
          <w:szCs w:val="22"/>
          <w:u w:val="single"/>
        </w:rPr>
        <w:t>Loss from discontinued operations</w:t>
      </w:r>
    </w:p>
    <w:p w14:paraId="67D90330" w14:textId="77777777" w:rsidR="00921DCA" w:rsidRPr="00B96774" w:rsidRDefault="00921DCA" w:rsidP="00921DCA">
      <w:pPr>
        <w:numPr>
          <w:ilvl w:val="12"/>
          <w:numId w:val="0"/>
        </w:numPr>
        <w:jc w:val="both"/>
        <w:rPr>
          <w:sz w:val="22"/>
          <w:szCs w:val="22"/>
        </w:rPr>
      </w:pPr>
    </w:p>
    <w:bookmarkEnd w:id="4"/>
    <w:p w14:paraId="4E52A0DC" w14:textId="77777777" w:rsidR="0019363A" w:rsidRDefault="0019363A" w:rsidP="0019363A">
      <w:pPr>
        <w:overflowPunct/>
        <w:autoSpaceDE/>
        <w:adjustRightInd/>
        <w:rPr>
          <w:sz w:val="24"/>
          <w:szCs w:val="24"/>
          <w:lang w:val="en-US" w:eastAsia="en-US"/>
        </w:rPr>
      </w:pPr>
      <w:r>
        <w:rPr>
          <w:sz w:val="24"/>
          <w:szCs w:val="24"/>
          <w:lang w:val="en-US" w:eastAsia="en-US"/>
        </w:rPr>
        <w:t>During 2020, the group decided to discontinue the ambient warehousing in Ireland following on from the group exit in 2018 in the Juice business for the ready to drink market. A loss in the current year of £0.07m was incurred, compared to £0.06m last year.</w:t>
      </w:r>
    </w:p>
    <w:p w14:paraId="59B4ED38" w14:textId="77777777" w:rsidR="00921DCA" w:rsidRPr="00B96774" w:rsidRDefault="00921DCA" w:rsidP="00921DCA">
      <w:pPr>
        <w:numPr>
          <w:ilvl w:val="12"/>
          <w:numId w:val="0"/>
        </w:numPr>
        <w:jc w:val="both"/>
        <w:rPr>
          <w:sz w:val="22"/>
          <w:szCs w:val="22"/>
        </w:rPr>
      </w:pPr>
    </w:p>
    <w:p w14:paraId="0CFD5D68" w14:textId="77777777" w:rsidR="00921DCA" w:rsidRPr="00B96774" w:rsidRDefault="00921DCA" w:rsidP="00921DCA">
      <w:pPr>
        <w:overflowPunct/>
        <w:autoSpaceDE/>
        <w:autoSpaceDN/>
        <w:adjustRightInd/>
        <w:jc w:val="both"/>
        <w:textAlignment w:val="auto"/>
        <w:rPr>
          <w:b/>
          <w:color w:val="000000"/>
          <w:sz w:val="22"/>
          <w:szCs w:val="22"/>
          <w:u w:val="single"/>
        </w:rPr>
      </w:pPr>
      <w:r w:rsidRPr="00B96774">
        <w:rPr>
          <w:b/>
          <w:color w:val="000000"/>
          <w:sz w:val="22"/>
          <w:szCs w:val="22"/>
          <w:u w:val="single"/>
        </w:rPr>
        <w:t>Earnings per share</w:t>
      </w:r>
    </w:p>
    <w:p w14:paraId="6EF50D02" w14:textId="77777777" w:rsidR="00921DCA" w:rsidRPr="00B96774" w:rsidRDefault="00921DCA" w:rsidP="00921DCA">
      <w:pPr>
        <w:overflowPunct/>
        <w:autoSpaceDE/>
        <w:autoSpaceDN/>
        <w:adjustRightInd/>
        <w:jc w:val="both"/>
        <w:textAlignment w:val="auto"/>
        <w:rPr>
          <w:color w:val="000000"/>
          <w:sz w:val="22"/>
          <w:szCs w:val="22"/>
        </w:rPr>
      </w:pPr>
    </w:p>
    <w:p w14:paraId="4FF777E5" w14:textId="77777777" w:rsidR="00300FFA" w:rsidRDefault="00300FFA" w:rsidP="00300FFA">
      <w:pPr>
        <w:overflowPunct/>
        <w:autoSpaceDE/>
        <w:adjustRightInd/>
        <w:jc w:val="both"/>
        <w:rPr>
          <w:color w:val="FF0000"/>
          <w:sz w:val="22"/>
          <w:szCs w:val="22"/>
        </w:rPr>
      </w:pPr>
      <w:r>
        <w:rPr>
          <w:color w:val="000000"/>
          <w:sz w:val="22"/>
          <w:szCs w:val="22"/>
        </w:rPr>
        <w:t xml:space="preserve">The basic adjusted earnings per share decreased by 21% to 5.02p (2019: 6.33p). </w:t>
      </w:r>
    </w:p>
    <w:p w14:paraId="24B7A85A" w14:textId="77777777" w:rsidR="00921DCA" w:rsidRPr="00B96774" w:rsidRDefault="00921DCA" w:rsidP="00921DCA">
      <w:pPr>
        <w:numPr>
          <w:ilvl w:val="12"/>
          <w:numId w:val="0"/>
        </w:numPr>
        <w:jc w:val="both"/>
        <w:rPr>
          <w:color w:val="FF0000"/>
          <w:sz w:val="22"/>
          <w:szCs w:val="22"/>
        </w:rPr>
      </w:pPr>
    </w:p>
    <w:p w14:paraId="4F74A5B3" w14:textId="77777777" w:rsidR="00C03C31" w:rsidRPr="00C03C31" w:rsidRDefault="00C03C31" w:rsidP="00C03C31">
      <w:pPr>
        <w:jc w:val="both"/>
        <w:rPr>
          <w:sz w:val="22"/>
          <w:szCs w:val="22"/>
          <w:lang w:val="en-IE" w:eastAsia="en-US"/>
        </w:rPr>
      </w:pPr>
      <w:r w:rsidRPr="00C03C31">
        <w:rPr>
          <w:b/>
          <w:bCs/>
          <w:color w:val="000000"/>
          <w:sz w:val="22"/>
          <w:szCs w:val="22"/>
          <w:u w:val="single"/>
        </w:rPr>
        <w:t xml:space="preserve">Capital </w:t>
      </w:r>
    </w:p>
    <w:p w14:paraId="4905A236" w14:textId="77777777" w:rsidR="00C03C31" w:rsidRPr="00C03C31" w:rsidRDefault="00C03C31" w:rsidP="00C03C31">
      <w:pPr>
        <w:jc w:val="both"/>
        <w:rPr>
          <w:sz w:val="22"/>
          <w:szCs w:val="22"/>
          <w:lang w:val="en-IE"/>
        </w:rPr>
      </w:pPr>
      <w:r w:rsidRPr="00C03C31">
        <w:rPr>
          <w:b/>
          <w:bCs/>
          <w:color w:val="000000"/>
          <w:sz w:val="22"/>
          <w:szCs w:val="22"/>
        </w:rPr>
        <w:t> </w:t>
      </w:r>
    </w:p>
    <w:p w14:paraId="782CD7D1" w14:textId="1586C70F" w:rsidR="00C03C31" w:rsidRPr="00C03C31" w:rsidRDefault="00C03C31" w:rsidP="00C03C31">
      <w:pPr>
        <w:jc w:val="both"/>
        <w:rPr>
          <w:sz w:val="22"/>
          <w:szCs w:val="22"/>
          <w:lang w:val="en-IE"/>
        </w:rPr>
      </w:pPr>
      <w:r w:rsidRPr="00C03C31">
        <w:rPr>
          <w:color w:val="000000"/>
          <w:sz w:val="22"/>
          <w:szCs w:val="22"/>
        </w:rPr>
        <w:t>During the period we invested £2.2m (2019:</w:t>
      </w:r>
      <w:r w:rsidR="0025189B">
        <w:rPr>
          <w:color w:val="000000"/>
          <w:sz w:val="22"/>
          <w:szCs w:val="22"/>
        </w:rPr>
        <w:t xml:space="preserve"> £2.3m) in investing activities</w:t>
      </w:r>
      <w:r w:rsidRPr="00C03C31">
        <w:rPr>
          <w:color w:val="000000"/>
          <w:sz w:val="22"/>
          <w:szCs w:val="22"/>
        </w:rPr>
        <w:t>. £1.74m was invested in plant and equipment of which £0.36m was invested in Blast Freezers at the Wrexham store and £1.24m in other capital expenditure for the cold store division. £0.14m was invested in dairy division. We also invested £0.7m in respect of the commercialisation of our A2 protein milk business. We sold and purchased Biological assets which netted £0.2m in surplus cash.</w:t>
      </w:r>
    </w:p>
    <w:p w14:paraId="0D34E5E2" w14:textId="77777777" w:rsidR="00921DCA" w:rsidRPr="00B96774" w:rsidRDefault="00921DCA" w:rsidP="00921DCA">
      <w:pPr>
        <w:overflowPunct/>
        <w:autoSpaceDE/>
        <w:autoSpaceDN/>
        <w:adjustRightInd/>
        <w:jc w:val="both"/>
        <w:textAlignment w:val="auto"/>
        <w:rPr>
          <w:b/>
          <w:color w:val="000000"/>
          <w:sz w:val="22"/>
          <w:szCs w:val="22"/>
          <w:u w:val="single"/>
        </w:rPr>
      </w:pPr>
    </w:p>
    <w:p w14:paraId="4163C247" w14:textId="77777777" w:rsidR="00921DCA" w:rsidRPr="00B96774" w:rsidRDefault="00921DCA" w:rsidP="00921DCA">
      <w:pPr>
        <w:overflowPunct/>
        <w:autoSpaceDE/>
        <w:autoSpaceDN/>
        <w:adjustRightInd/>
        <w:jc w:val="both"/>
        <w:textAlignment w:val="auto"/>
        <w:rPr>
          <w:b/>
          <w:color w:val="000000"/>
          <w:sz w:val="22"/>
          <w:szCs w:val="22"/>
          <w:u w:val="single"/>
        </w:rPr>
      </w:pPr>
      <w:r w:rsidRPr="00B96774">
        <w:rPr>
          <w:b/>
          <w:color w:val="000000"/>
          <w:sz w:val="22"/>
          <w:szCs w:val="22"/>
          <w:u w:val="single"/>
        </w:rPr>
        <w:t>Cash Position</w:t>
      </w:r>
    </w:p>
    <w:p w14:paraId="2B20F9F5" w14:textId="77777777" w:rsidR="00921DCA" w:rsidRPr="00B96774" w:rsidRDefault="00921DCA" w:rsidP="00921DCA">
      <w:pPr>
        <w:overflowPunct/>
        <w:autoSpaceDE/>
        <w:autoSpaceDN/>
        <w:adjustRightInd/>
        <w:jc w:val="both"/>
        <w:textAlignment w:val="auto"/>
        <w:rPr>
          <w:color w:val="000000"/>
          <w:sz w:val="22"/>
          <w:szCs w:val="22"/>
        </w:rPr>
      </w:pPr>
    </w:p>
    <w:p w14:paraId="2B21EF84" w14:textId="5B51B4FA" w:rsidR="00921DCA" w:rsidRPr="00B96774" w:rsidRDefault="00921DCA" w:rsidP="00921DCA">
      <w:pPr>
        <w:overflowPunct/>
        <w:autoSpaceDE/>
        <w:autoSpaceDN/>
        <w:adjustRightInd/>
        <w:jc w:val="both"/>
        <w:textAlignment w:val="auto"/>
        <w:rPr>
          <w:color w:val="000000"/>
          <w:sz w:val="22"/>
          <w:szCs w:val="22"/>
        </w:rPr>
      </w:pPr>
      <w:r w:rsidRPr="00612FD2">
        <w:rPr>
          <w:color w:val="000000"/>
          <w:sz w:val="22"/>
          <w:szCs w:val="22"/>
        </w:rPr>
        <w:t>Net debt decreased to £8.7m (2019: £9.7m). Cash generated from operations amounted to £3.</w:t>
      </w:r>
      <w:r w:rsidR="00200415">
        <w:rPr>
          <w:color w:val="000000"/>
          <w:sz w:val="22"/>
          <w:szCs w:val="22"/>
        </w:rPr>
        <w:t>2</w:t>
      </w:r>
      <w:r w:rsidRPr="00612FD2">
        <w:rPr>
          <w:color w:val="000000"/>
          <w:sz w:val="22"/>
          <w:szCs w:val="22"/>
        </w:rPr>
        <w:t>m (2019: £3.5m) and financing activities absorbed £0.5m (2019: £1.8</w:t>
      </w:r>
      <w:r w:rsidR="0019411F">
        <w:rPr>
          <w:color w:val="000000"/>
          <w:sz w:val="22"/>
          <w:szCs w:val="22"/>
        </w:rPr>
        <w:t>m</w:t>
      </w:r>
      <w:r w:rsidRPr="00612FD2">
        <w:rPr>
          <w:color w:val="000000"/>
          <w:sz w:val="22"/>
          <w:szCs w:val="22"/>
        </w:rPr>
        <w:t>). Investment in assets was made of £2.</w:t>
      </w:r>
      <w:r w:rsidR="00200415">
        <w:rPr>
          <w:color w:val="000000"/>
          <w:sz w:val="22"/>
          <w:szCs w:val="22"/>
        </w:rPr>
        <w:t>2</w:t>
      </w:r>
      <w:r w:rsidRPr="00612FD2">
        <w:rPr>
          <w:color w:val="000000"/>
          <w:sz w:val="22"/>
          <w:szCs w:val="22"/>
        </w:rPr>
        <w:t>m (2019: £2.3m).</w:t>
      </w:r>
      <w:r w:rsidRPr="00B96774">
        <w:rPr>
          <w:color w:val="000000"/>
          <w:sz w:val="22"/>
          <w:szCs w:val="22"/>
        </w:rPr>
        <w:t xml:space="preserve"> </w:t>
      </w:r>
    </w:p>
    <w:p w14:paraId="76808366" w14:textId="77777777" w:rsidR="00BF6318" w:rsidRPr="0002319B" w:rsidRDefault="00BF6318" w:rsidP="00BF6318">
      <w:pPr>
        <w:suppressAutoHyphens/>
        <w:overflowPunct/>
        <w:spacing w:line="288" w:lineRule="auto"/>
        <w:textAlignment w:val="center"/>
        <w:rPr>
          <w:b/>
          <w:sz w:val="22"/>
          <w:szCs w:val="22"/>
        </w:rPr>
      </w:pPr>
    </w:p>
    <w:p w14:paraId="3B3DD9B4" w14:textId="77777777" w:rsidR="00BF6318" w:rsidRPr="00C6411F" w:rsidRDefault="00BF6318" w:rsidP="00BF6318">
      <w:pPr>
        <w:suppressAutoHyphens/>
        <w:overflowPunct/>
        <w:spacing w:line="288" w:lineRule="auto"/>
        <w:textAlignment w:val="center"/>
        <w:rPr>
          <w:b/>
          <w:sz w:val="22"/>
          <w:szCs w:val="22"/>
        </w:rPr>
      </w:pPr>
    </w:p>
    <w:p w14:paraId="72289932" w14:textId="77777777" w:rsidR="00BF6318" w:rsidRPr="0006489A" w:rsidRDefault="00BF6318" w:rsidP="00BF6318">
      <w:pPr>
        <w:pBdr>
          <w:bottom w:val="single" w:sz="8" w:space="5" w:color="000000"/>
        </w:pBdr>
        <w:suppressAutoHyphens/>
        <w:overflowPunct/>
        <w:spacing w:line="288" w:lineRule="auto"/>
        <w:textAlignment w:val="center"/>
        <w:rPr>
          <w:rFonts w:ascii="Arial" w:hAnsi="Arial" w:cs="Arial"/>
          <w:b/>
          <w:bCs/>
          <w:caps/>
          <w:color w:val="000000"/>
          <w:sz w:val="30"/>
          <w:szCs w:val="30"/>
          <w:lang w:eastAsia="en-GB"/>
        </w:rPr>
      </w:pPr>
      <w:r>
        <w:rPr>
          <w:rFonts w:ascii="Arial" w:hAnsi="Arial" w:cs="Arial"/>
          <w:b/>
          <w:bCs/>
          <w:caps/>
          <w:color w:val="000000"/>
          <w:sz w:val="30"/>
          <w:szCs w:val="30"/>
          <w:lang w:eastAsia="en-GB"/>
        </w:rPr>
        <w:lastRenderedPageBreak/>
        <w:t xml:space="preserve">Financial Review </w:t>
      </w:r>
      <w:r w:rsidRPr="0006489A">
        <w:rPr>
          <w:rFonts w:ascii="Arial" w:hAnsi="Arial" w:cs="Arial"/>
          <w:b/>
          <w:bCs/>
          <w:i/>
          <w:caps/>
          <w:color w:val="000000"/>
          <w:sz w:val="26"/>
          <w:szCs w:val="26"/>
          <w:lang w:eastAsia="en-GB"/>
        </w:rPr>
        <w:t>(Continued)</w:t>
      </w:r>
    </w:p>
    <w:p w14:paraId="1A89F818" w14:textId="77777777" w:rsidR="00BF6318" w:rsidRDefault="00BF6318" w:rsidP="00BF6318">
      <w:pPr>
        <w:overflowPunct/>
        <w:autoSpaceDE/>
        <w:autoSpaceDN/>
        <w:adjustRightInd/>
        <w:jc w:val="both"/>
        <w:textAlignment w:val="auto"/>
        <w:rPr>
          <w:b/>
          <w:sz w:val="22"/>
          <w:szCs w:val="22"/>
          <w:u w:val="single"/>
          <w:lang w:eastAsia="en-US"/>
        </w:rPr>
      </w:pPr>
    </w:p>
    <w:p w14:paraId="74738C29" w14:textId="77777777" w:rsidR="00921DCA" w:rsidRPr="00B96774" w:rsidRDefault="00921DCA" w:rsidP="00921DCA">
      <w:pPr>
        <w:overflowPunct/>
        <w:autoSpaceDE/>
        <w:autoSpaceDN/>
        <w:adjustRightInd/>
        <w:jc w:val="both"/>
        <w:textAlignment w:val="auto"/>
        <w:rPr>
          <w:b/>
          <w:sz w:val="22"/>
          <w:szCs w:val="22"/>
          <w:u w:val="single"/>
          <w:lang w:eastAsia="en-US"/>
        </w:rPr>
      </w:pPr>
      <w:bookmarkStart w:id="5" w:name="_Hlk34367637"/>
      <w:r w:rsidRPr="00B96774">
        <w:rPr>
          <w:b/>
          <w:sz w:val="22"/>
          <w:szCs w:val="22"/>
          <w:u w:val="single"/>
          <w:lang w:eastAsia="en-US"/>
        </w:rPr>
        <w:t>Dividend</w:t>
      </w:r>
    </w:p>
    <w:p w14:paraId="0FD505E5" w14:textId="77777777" w:rsidR="00921DCA" w:rsidRPr="00B96774" w:rsidRDefault="00921DCA" w:rsidP="00921DCA">
      <w:pPr>
        <w:numPr>
          <w:ilvl w:val="12"/>
          <w:numId w:val="0"/>
        </w:numPr>
        <w:overflowPunct/>
        <w:autoSpaceDE/>
        <w:autoSpaceDN/>
        <w:adjustRightInd/>
        <w:jc w:val="both"/>
        <w:textAlignment w:val="auto"/>
        <w:rPr>
          <w:sz w:val="22"/>
          <w:szCs w:val="22"/>
          <w:lang w:eastAsia="en-US"/>
        </w:rPr>
      </w:pPr>
    </w:p>
    <w:p w14:paraId="7A4FE58C" w14:textId="77777777" w:rsidR="00921DCA" w:rsidRPr="00612FD2" w:rsidRDefault="00921DCA" w:rsidP="00921DCA">
      <w:pPr>
        <w:numPr>
          <w:ilvl w:val="12"/>
          <w:numId w:val="0"/>
        </w:numPr>
        <w:overflowPunct/>
        <w:autoSpaceDE/>
        <w:autoSpaceDN/>
        <w:adjustRightInd/>
        <w:jc w:val="both"/>
        <w:textAlignment w:val="auto"/>
        <w:rPr>
          <w:sz w:val="22"/>
          <w:szCs w:val="22"/>
          <w:lang w:eastAsia="en-US"/>
        </w:rPr>
      </w:pPr>
      <w:r w:rsidRPr="00612FD2">
        <w:rPr>
          <w:sz w:val="22"/>
          <w:szCs w:val="22"/>
          <w:lang w:eastAsia="en-US"/>
        </w:rPr>
        <w:t>The board recommends the payment of a final dividend of 2.0 €cent per share. This will be paid on 15 October 2021 to those shareholders on the register on the 24 September 2021. It will bring the total dividend in respect of the financial year to 2.0 €cent per share, against Nil €cent per share last year.</w:t>
      </w:r>
    </w:p>
    <w:p w14:paraId="66263760" w14:textId="77777777" w:rsidR="00921DCA" w:rsidRPr="00B96774" w:rsidRDefault="00921DCA" w:rsidP="00921DCA">
      <w:pPr>
        <w:numPr>
          <w:ilvl w:val="12"/>
          <w:numId w:val="0"/>
        </w:numPr>
        <w:spacing w:after="120"/>
        <w:jc w:val="both"/>
        <w:rPr>
          <w:b/>
          <w:sz w:val="22"/>
          <w:u w:val="single"/>
        </w:rPr>
      </w:pPr>
      <w:r w:rsidRPr="00B96774">
        <w:rPr>
          <w:b/>
          <w:sz w:val="22"/>
          <w:u w:val="single"/>
        </w:rPr>
        <w:br/>
        <w:t>Treasury policy and management</w:t>
      </w:r>
    </w:p>
    <w:p w14:paraId="6327401B" w14:textId="77777777" w:rsidR="00921DCA" w:rsidRPr="00B96774" w:rsidRDefault="00921DCA" w:rsidP="00921DCA">
      <w:pPr>
        <w:widowControl w:val="0"/>
        <w:numPr>
          <w:ilvl w:val="12"/>
          <w:numId w:val="0"/>
        </w:numPr>
        <w:jc w:val="both"/>
        <w:rPr>
          <w:sz w:val="22"/>
          <w:lang w:val="en-US"/>
        </w:rPr>
      </w:pPr>
      <w:r w:rsidRPr="00B96774">
        <w:rPr>
          <w:sz w:val="22"/>
          <w:lang w:val="en-US"/>
        </w:rPr>
        <w:t xml:space="preserve">The treasury function, which is managed centrally, handles all Group funding, debt, cash, working capital and foreign exchange exposures.  Group treasury policy concentrates on the </w:t>
      </w:r>
      <w:proofErr w:type="spellStart"/>
      <w:r w:rsidRPr="00B96774">
        <w:rPr>
          <w:sz w:val="22"/>
          <w:lang w:val="en-US"/>
        </w:rPr>
        <w:t>minimisation</w:t>
      </w:r>
      <w:proofErr w:type="spellEnd"/>
      <w:r w:rsidRPr="00B96774">
        <w:rPr>
          <w:sz w:val="22"/>
          <w:lang w:val="en-US"/>
        </w:rPr>
        <w:t xml:space="preserve"> of risk in all of the above areas and is overseen</w:t>
      </w:r>
      <w:r w:rsidRPr="00B96774">
        <w:rPr>
          <w:sz w:val="22"/>
        </w:rPr>
        <w:t xml:space="preserve"> </w:t>
      </w:r>
      <w:r w:rsidRPr="00B96774">
        <w:rPr>
          <w:sz w:val="22"/>
          <w:lang w:val="en-US"/>
        </w:rPr>
        <w:t xml:space="preserve">and approved by the Board.  Speculative positions are not </w:t>
      </w:r>
      <w:r w:rsidRPr="00B96774">
        <w:rPr>
          <w:sz w:val="2"/>
        </w:rPr>
        <w:t xml:space="preserve"> </w:t>
      </w:r>
      <w:r w:rsidRPr="00B96774">
        <w:rPr>
          <w:sz w:val="22"/>
          <w:lang w:val="en-US"/>
        </w:rPr>
        <w:t>taken.</w:t>
      </w:r>
    </w:p>
    <w:p w14:paraId="73D32AAA" w14:textId="77777777" w:rsidR="00921DCA" w:rsidRPr="00B96774" w:rsidRDefault="00921DCA" w:rsidP="00921DCA">
      <w:pPr>
        <w:widowControl w:val="0"/>
        <w:numPr>
          <w:ilvl w:val="12"/>
          <w:numId w:val="0"/>
        </w:numPr>
        <w:jc w:val="both"/>
        <w:rPr>
          <w:sz w:val="22"/>
          <w:lang w:val="en-US"/>
        </w:rPr>
      </w:pPr>
    </w:p>
    <w:p w14:paraId="0718BA51" w14:textId="77777777" w:rsidR="00921DCA" w:rsidRPr="00B96774" w:rsidRDefault="00921DCA" w:rsidP="00921DCA">
      <w:pPr>
        <w:numPr>
          <w:ilvl w:val="12"/>
          <w:numId w:val="0"/>
        </w:numPr>
        <w:jc w:val="both"/>
        <w:rPr>
          <w:b/>
          <w:sz w:val="22"/>
          <w:u w:val="single"/>
        </w:rPr>
      </w:pPr>
      <w:r w:rsidRPr="00B96774">
        <w:rPr>
          <w:b/>
          <w:sz w:val="22"/>
          <w:u w:val="single"/>
        </w:rPr>
        <w:t>Financial risk management</w:t>
      </w:r>
    </w:p>
    <w:p w14:paraId="5AB060F5" w14:textId="77777777" w:rsidR="00921DCA" w:rsidRPr="00B96774" w:rsidRDefault="00921DCA" w:rsidP="00921DCA">
      <w:pPr>
        <w:numPr>
          <w:ilvl w:val="12"/>
          <w:numId w:val="0"/>
        </w:numPr>
        <w:jc w:val="both"/>
        <w:rPr>
          <w:rFonts w:ascii="Helvetica" w:hAnsi="Helvetica"/>
          <w:i/>
          <w:spacing w:val="-5"/>
          <w:sz w:val="22"/>
        </w:rPr>
      </w:pPr>
    </w:p>
    <w:p w14:paraId="3B84854D" w14:textId="453107D2" w:rsidR="00921DCA" w:rsidRPr="00B96774" w:rsidRDefault="00921DCA" w:rsidP="00921DCA">
      <w:pPr>
        <w:numPr>
          <w:ilvl w:val="12"/>
          <w:numId w:val="0"/>
        </w:numPr>
        <w:jc w:val="both"/>
        <w:rPr>
          <w:sz w:val="22"/>
        </w:rPr>
      </w:pPr>
      <w:r w:rsidRPr="00B96774">
        <w:rPr>
          <w:sz w:val="22"/>
        </w:rPr>
        <w:t xml:space="preserve">The Group’s financial instruments comprise borrowings, cash, and various items, such as trade receivables, trade payables etc., that arise directly from its operations.  The main purposes of the financial instruments not arising directly from operations is to raise finance for the Group’s operations. </w:t>
      </w:r>
    </w:p>
    <w:p w14:paraId="65FA9CD5" w14:textId="77777777" w:rsidR="00921DCA" w:rsidRPr="00B96774" w:rsidRDefault="00921DCA" w:rsidP="00921DCA">
      <w:pPr>
        <w:widowControl w:val="0"/>
        <w:numPr>
          <w:ilvl w:val="12"/>
          <w:numId w:val="0"/>
        </w:numPr>
        <w:jc w:val="both"/>
        <w:rPr>
          <w:sz w:val="24"/>
        </w:rPr>
      </w:pPr>
    </w:p>
    <w:p w14:paraId="5A5F8A9E" w14:textId="77777777" w:rsidR="00921DCA" w:rsidRPr="00B96774" w:rsidRDefault="00921DCA" w:rsidP="00921DCA">
      <w:pPr>
        <w:numPr>
          <w:ilvl w:val="12"/>
          <w:numId w:val="0"/>
        </w:numPr>
        <w:jc w:val="both"/>
        <w:rPr>
          <w:sz w:val="22"/>
        </w:rPr>
      </w:pPr>
      <w:r w:rsidRPr="00B96774">
        <w:rPr>
          <w:sz w:val="22"/>
        </w:rPr>
        <w:t xml:space="preserve">The Group may enter into derivative transactions such as interest rate swaps, caps or forward foreign currency transactions in order to minimise its risks.  The purpose of such transactions is to manage the interest rate and currency risks arising from the Group’s operations and its sources of finance.  </w:t>
      </w:r>
    </w:p>
    <w:p w14:paraId="1E55B72D" w14:textId="77777777" w:rsidR="00921DCA" w:rsidRPr="00B96774" w:rsidRDefault="00921DCA" w:rsidP="00921DCA">
      <w:pPr>
        <w:overflowPunct/>
        <w:autoSpaceDE/>
        <w:autoSpaceDN/>
        <w:adjustRightInd/>
        <w:textAlignment w:val="auto"/>
        <w:rPr>
          <w:color w:val="000000"/>
          <w:sz w:val="22"/>
          <w:szCs w:val="22"/>
        </w:rPr>
      </w:pPr>
    </w:p>
    <w:p w14:paraId="596102C7" w14:textId="77777777" w:rsidR="00921DCA" w:rsidRPr="00B96774" w:rsidRDefault="00921DCA" w:rsidP="00921DCA">
      <w:pPr>
        <w:widowControl w:val="0"/>
        <w:numPr>
          <w:ilvl w:val="12"/>
          <w:numId w:val="0"/>
        </w:numPr>
        <w:jc w:val="both"/>
        <w:rPr>
          <w:sz w:val="22"/>
          <w:lang w:val="en-US"/>
        </w:rPr>
      </w:pPr>
      <w:r w:rsidRPr="00B96774">
        <w:rPr>
          <w:rFonts w:ascii="Times" w:hAnsi="Times"/>
          <w:sz w:val="22"/>
        </w:rPr>
        <w:t>The main risks arising from the Group’s financial instruments are interest rate risk</w:t>
      </w:r>
      <w:r>
        <w:rPr>
          <w:rFonts w:ascii="Times" w:hAnsi="Times"/>
          <w:sz w:val="22"/>
        </w:rPr>
        <w:t>,</w:t>
      </w:r>
      <w:r w:rsidRPr="00B96774">
        <w:rPr>
          <w:rFonts w:ascii="Times" w:hAnsi="Times"/>
          <w:sz w:val="22"/>
        </w:rPr>
        <w:t xml:space="preserve"> liquidity risk</w:t>
      </w:r>
      <w:r>
        <w:rPr>
          <w:rFonts w:ascii="Times" w:hAnsi="Times"/>
          <w:sz w:val="22"/>
        </w:rPr>
        <w:t>, credit risk and foreign exchange risk</w:t>
      </w:r>
      <w:r w:rsidRPr="00B96774">
        <w:rPr>
          <w:rFonts w:ascii="Times" w:hAnsi="Times"/>
          <w:sz w:val="22"/>
        </w:rPr>
        <w:t>.  The Group’s policies for managing each of these risks are summarised below.</w:t>
      </w:r>
    </w:p>
    <w:p w14:paraId="79B4666E" w14:textId="77777777" w:rsidR="00921DCA" w:rsidRPr="00B96774" w:rsidRDefault="00921DCA" w:rsidP="00921DCA">
      <w:pPr>
        <w:keepNext/>
        <w:numPr>
          <w:ilvl w:val="12"/>
          <w:numId w:val="0"/>
        </w:numPr>
        <w:ind w:left="567" w:hanging="567"/>
        <w:jc w:val="both"/>
        <w:rPr>
          <w:b/>
          <w:sz w:val="22"/>
          <w:u w:val="single"/>
        </w:rPr>
      </w:pPr>
    </w:p>
    <w:p w14:paraId="18CA7782" w14:textId="77777777" w:rsidR="00921DCA" w:rsidRPr="00B96774" w:rsidRDefault="00921DCA" w:rsidP="00921DCA">
      <w:pPr>
        <w:keepNext/>
        <w:numPr>
          <w:ilvl w:val="12"/>
          <w:numId w:val="0"/>
        </w:numPr>
        <w:ind w:left="567" w:hanging="567"/>
        <w:jc w:val="both"/>
        <w:rPr>
          <w:b/>
          <w:sz w:val="22"/>
          <w:u w:val="single"/>
        </w:rPr>
      </w:pPr>
      <w:r w:rsidRPr="00B96774">
        <w:rPr>
          <w:b/>
          <w:sz w:val="22"/>
          <w:u w:val="single"/>
        </w:rPr>
        <w:t>Interest rate risk</w:t>
      </w:r>
    </w:p>
    <w:p w14:paraId="2A577F49" w14:textId="77777777" w:rsidR="00921DCA" w:rsidRPr="00B96774" w:rsidRDefault="00921DCA" w:rsidP="00921DCA">
      <w:pPr>
        <w:keepNext/>
        <w:numPr>
          <w:ilvl w:val="12"/>
          <w:numId w:val="0"/>
        </w:numPr>
        <w:ind w:left="567" w:hanging="567"/>
        <w:jc w:val="both"/>
        <w:rPr>
          <w:i/>
          <w:sz w:val="22"/>
        </w:rPr>
      </w:pPr>
    </w:p>
    <w:p w14:paraId="79BACAD0" w14:textId="77777777" w:rsidR="00921DCA" w:rsidRPr="00B96774" w:rsidRDefault="00921DCA" w:rsidP="00921DCA">
      <w:pPr>
        <w:numPr>
          <w:ilvl w:val="12"/>
          <w:numId w:val="0"/>
        </w:numPr>
        <w:ind w:right="-114"/>
        <w:jc w:val="both"/>
        <w:rPr>
          <w:sz w:val="22"/>
        </w:rPr>
      </w:pPr>
      <w:r w:rsidRPr="00B96774">
        <w:rPr>
          <w:sz w:val="22"/>
        </w:rPr>
        <w:t xml:space="preserve">The Group finances its operations through a mixture of retained profits, bank and other borrowings at both fixed and floating rates of interest and working capital.  The Group determines the level of borrowings at fixed rates of interest having regard to current market rates and </w:t>
      </w:r>
      <w:r w:rsidRPr="00B96774">
        <w:rPr>
          <w:sz w:val="22"/>
          <w:szCs w:val="22"/>
        </w:rPr>
        <w:t>future trends.  At the year-end there are £</w:t>
      </w:r>
      <w:r>
        <w:rPr>
          <w:sz w:val="22"/>
          <w:szCs w:val="22"/>
        </w:rPr>
        <w:t>1.7m</w:t>
      </w:r>
      <w:r w:rsidRPr="00B96774">
        <w:rPr>
          <w:sz w:val="22"/>
          <w:szCs w:val="22"/>
        </w:rPr>
        <w:t xml:space="preserve"> </w:t>
      </w:r>
      <w:r w:rsidRPr="00612FD2">
        <w:rPr>
          <w:sz w:val="22"/>
          <w:szCs w:val="22"/>
        </w:rPr>
        <w:t xml:space="preserve">term loans of which £1.32m are at floating base rate plus a bank margin of 1.85% and </w:t>
      </w:r>
      <w:r w:rsidRPr="00612FD2">
        <w:rPr>
          <w:sz w:val="22"/>
        </w:rPr>
        <w:t>£0.1</w:t>
      </w:r>
      <w:r>
        <w:rPr>
          <w:sz w:val="22"/>
        </w:rPr>
        <w:t>8</w:t>
      </w:r>
      <w:r w:rsidRPr="00612FD2">
        <w:rPr>
          <w:sz w:val="22"/>
        </w:rPr>
        <w:t>m are at a floating rate of 3.75% and £0.2m are at Euribor plus a bank margin of 1.85%.</w:t>
      </w:r>
    </w:p>
    <w:p w14:paraId="0E038FB7" w14:textId="77777777" w:rsidR="00921DCA" w:rsidRPr="00B96774" w:rsidRDefault="00921DCA" w:rsidP="00921DCA">
      <w:pPr>
        <w:numPr>
          <w:ilvl w:val="12"/>
          <w:numId w:val="0"/>
        </w:numPr>
        <w:ind w:right="-114"/>
        <w:jc w:val="both"/>
        <w:rPr>
          <w:sz w:val="22"/>
        </w:rPr>
      </w:pPr>
    </w:p>
    <w:p w14:paraId="39AD2697" w14:textId="77777777" w:rsidR="00921DCA" w:rsidRPr="00B96774" w:rsidRDefault="00921DCA" w:rsidP="00921DCA">
      <w:pPr>
        <w:keepNext/>
        <w:numPr>
          <w:ilvl w:val="12"/>
          <w:numId w:val="0"/>
        </w:numPr>
        <w:ind w:left="567" w:hanging="567"/>
        <w:jc w:val="both"/>
        <w:rPr>
          <w:b/>
          <w:sz w:val="22"/>
          <w:u w:val="single"/>
        </w:rPr>
      </w:pPr>
      <w:r w:rsidRPr="00B96774">
        <w:rPr>
          <w:b/>
          <w:sz w:val="22"/>
          <w:u w:val="single"/>
        </w:rPr>
        <w:t>Liquidity risk</w:t>
      </w:r>
    </w:p>
    <w:p w14:paraId="42AE30CB" w14:textId="77777777" w:rsidR="00921DCA" w:rsidRPr="00B96774" w:rsidRDefault="00921DCA" w:rsidP="00921DCA">
      <w:pPr>
        <w:keepNext/>
        <w:numPr>
          <w:ilvl w:val="12"/>
          <w:numId w:val="0"/>
        </w:numPr>
        <w:ind w:left="567" w:hanging="567"/>
        <w:jc w:val="both"/>
        <w:rPr>
          <w:i/>
          <w:sz w:val="22"/>
        </w:rPr>
      </w:pPr>
    </w:p>
    <w:p w14:paraId="2F92AF98" w14:textId="77777777" w:rsidR="00921DCA" w:rsidRDefault="00921DCA" w:rsidP="00921DCA">
      <w:pPr>
        <w:numPr>
          <w:ilvl w:val="12"/>
          <w:numId w:val="0"/>
        </w:numPr>
        <w:ind w:right="-114"/>
        <w:jc w:val="both"/>
        <w:rPr>
          <w:sz w:val="22"/>
        </w:rPr>
      </w:pPr>
      <w:r w:rsidRPr="00B96774">
        <w:rPr>
          <w:sz w:val="22"/>
        </w:rPr>
        <w:t xml:space="preserve">The Group’s policy is that, in order to ensure continuity of funding, a significant portion of its borrowings should mature in more than one year.  </w:t>
      </w:r>
      <w:r w:rsidRPr="00612FD2">
        <w:rPr>
          <w:sz w:val="22"/>
        </w:rPr>
        <w:t>At the year-end, 76% of the Group’s term loan borrowings were due to mature in more than one year. The Group achieves short-term flexibility by means of invoice finance and overdraft.</w:t>
      </w:r>
    </w:p>
    <w:p w14:paraId="15DA1EFE" w14:textId="77777777" w:rsidR="00BF6318" w:rsidRDefault="00BF6318" w:rsidP="00BF6318">
      <w:pPr>
        <w:numPr>
          <w:ilvl w:val="12"/>
          <w:numId w:val="0"/>
        </w:numPr>
        <w:ind w:right="-114"/>
        <w:jc w:val="both"/>
        <w:rPr>
          <w:sz w:val="22"/>
        </w:rPr>
      </w:pPr>
    </w:p>
    <w:bookmarkEnd w:id="5"/>
    <w:p w14:paraId="6BE3C386" w14:textId="77777777" w:rsidR="00BF6318" w:rsidRDefault="00BF6318" w:rsidP="00BF6318">
      <w:pPr>
        <w:numPr>
          <w:ilvl w:val="12"/>
          <w:numId w:val="0"/>
        </w:numPr>
        <w:ind w:right="-114"/>
        <w:jc w:val="both"/>
        <w:rPr>
          <w:sz w:val="22"/>
        </w:rPr>
      </w:pPr>
    </w:p>
    <w:p w14:paraId="1BD0CFF0" w14:textId="77777777" w:rsidR="00BF6318" w:rsidRDefault="00BF6318" w:rsidP="00BF6318">
      <w:pPr>
        <w:pBdr>
          <w:bottom w:val="single" w:sz="8" w:space="5" w:color="000000"/>
        </w:pBdr>
        <w:suppressAutoHyphens/>
        <w:overflowPunct/>
        <w:spacing w:line="288" w:lineRule="auto"/>
        <w:textAlignment w:val="center"/>
        <w:rPr>
          <w:rFonts w:ascii="Arial" w:hAnsi="Arial" w:cs="Arial"/>
          <w:b/>
          <w:bCs/>
          <w:caps/>
          <w:color w:val="000000"/>
          <w:sz w:val="30"/>
          <w:szCs w:val="30"/>
          <w:lang w:eastAsia="en-GB"/>
        </w:rPr>
      </w:pPr>
      <w:r>
        <w:rPr>
          <w:rFonts w:ascii="Arial" w:hAnsi="Arial" w:cs="Arial"/>
          <w:b/>
          <w:bCs/>
          <w:caps/>
          <w:color w:val="000000"/>
          <w:sz w:val="30"/>
          <w:szCs w:val="30"/>
          <w:lang w:eastAsia="en-GB"/>
        </w:rPr>
        <w:br w:type="page"/>
      </w:r>
    </w:p>
    <w:p w14:paraId="34C5DF2A" w14:textId="77777777" w:rsidR="00BF6318" w:rsidRPr="0006489A" w:rsidRDefault="00BF6318" w:rsidP="00BF6318">
      <w:pPr>
        <w:pBdr>
          <w:bottom w:val="single" w:sz="8" w:space="5" w:color="000000"/>
        </w:pBdr>
        <w:suppressAutoHyphens/>
        <w:overflowPunct/>
        <w:spacing w:line="288" w:lineRule="auto"/>
        <w:textAlignment w:val="center"/>
        <w:rPr>
          <w:rFonts w:ascii="Arial" w:hAnsi="Arial" w:cs="Arial"/>
          <w:b/>
          <w:bCs/>
          <w:caps/>
          <w:color w:val="000000"/>
          <w:sz w:val="30"/>
          <w:szCs w:val="30"/>
          <w:lang w:eastAsia="en-GB"/>
        </w:rPr>
      </w:pPr>
      <w:r>
        <w:rPr>
          <w:rFonts w:ascii="Arial" w:hAnsi="Arial" w:cs="Arial"/>
          <w:b/>
          <w:bCs/>
          <w:caps/>
          <w:color w:val="000000"/>
          <w:sz w:val="30"/>
          <w:szCs w:val="30"/>
          <w:lang w:eastAsia="en-GB"/>
        </w:rPr>
        <w:lastRenderedPageBreak/>
        <w:t xml:space="preserve">Financial Review </w:t>
      </w:r>
      <w:r w:rsidRPr="0006489A">
        <w:rPr>
          <w:rFonts w:ascii="Arial" w:hAnsi="Arial" w:cs="Arial"/>
          <w:b/>
          <w:bCs/>
          <w:i/>
          <w:caps/>
          <w:color w:val="000000"/>
          <w:sz w:val="26"/>
          <w:szCs w:val="26"/>
          <w:lang w:eastAsia="en-GB"/>
        </w:rPr>
        <w:t>(Continued)</w:t>
      </w:r>
    </w:p>
    <w:p w14:paraId="260F11D8" w14:textId="77777777" w:rsidR="00BF6318" w:rsidRDefault="00BF6318" w:rsidP="00BF6318">
      <w:pPr>
        <w:numPr>
          <w:ilvl w:val="12"/>
          <w:numId w:val="0"/>
        </w:numPr>
        <w:jc w:val="both"/>
        <w:rPr>
          <w:sz w:val="22"/>
        </w:rPr>
      </w:pPr>
    </w:p>
    <w:p w14:paraId="2B2C5F2A" w14:textId="77777777" w:rsidR="00BF6318" w:rsidRDefault="00BF6318" w:rsidP="00BF6318">
      <w:pPr>
        <w:numPr>
          <w:ilvl w:val="12"/>
          <w:numId w:val="0"/>
        </w:numPr>
        <w:ind w:right="-114"/>
        <w:jc w:val="both"/>
        <w:rPr>
          <w:b/>
          <w:bCs/>
          <w:sz w:val="22"/>
          <w:u w:val="single"/>
        </w:rPr>
      </w:pPr>
      <w:r>
        <w:rPr>
          <w:b/>
          <w:bCs/>
          <w:sz w:val="22"/>
          <w:u w:val="single"/>
        </w:rPr>
        <w:t>Credit risk</w:t>
      </w:r>
    </w:p>
    <w:p w14:paraId="604BA3F9" w14:textId="77777777" w:rsidR="00BF6318" w:rsidRDefault="00BF6318" w:rsidP="00BF6318">
      <w:pPr>
        <w:numPr>
          <w:ilvl w:val="12"/>
          <w:numId w:val="0"/>
        </w:numPr>
        <w:ind w:right="-114"/>
        <w:jc w:val="both"/>
        <w:rPr>
          <w:b/>
          <w:bCs/>
          <w:sz w:val="22"/>
          <w:u w:val="single"/>
        </w:rPr>
      </w:pPr>
    </w:p>
    <w:p w14:paraId="50DE7FDE" w14:textId="77777777" w:rsidR="00BF6318" w:rsidRPr="009A4139" w:rsidRDefault="00BF6318" w:rsidP="00BF6318">
      <w:pPr>
        <w:numPr>
          <w:ilvl w:val="12"/>
          <w:numId w:val="0"/>
        </w:numPr>
        <w:ind w:right="-114"/>
        <w:jc w:val="both"/>
        <w:rPr>
          <w:sz w:val="22"/>
        </w:rPr>
      </w:pPr>
      <w:r w:rsidRPr="009A4139">
        <w:rPr>
          <w:sz w:val="22"/>
        </w:rPr>
        <w:t>The Group’s</w:t>
      </w:r>
      <w:r>
        <w:rPr>
          <w:sz w:val="22"/>
        </w:rPr>
        <w:t xml:space="preserve"> policy is to minimise exposure to credit risk by performing the appropriate customer due diligence and monitoring the exposure to credit risk. Furthermore, for much of the Group’s trading activities the Group has physical custody over customer’s inventory. </w:t>
      </w:r>
    </w:p>
    <w:p w14:paraId="02DC3D85" w14:textId="77777777" w:rsidR="00BF6318" w:rsidRDefault="00BF6318" w:rsidP="00BF6318">
      <w:pPr>
        <w:numPr>
          <w:ilvl w:val="12"/>
          <w:numId w:val="0"/>
        </w:numPr>
        <w:ind w:right="-114"/>
        <w:jc w:val="both"/>
        <w:rPr>
          <w:b/>
          <w:bCs/>
          <w:sz w:val="22"/>
          <w:u w:val="single"/>
        </w:rPr>
      </w:pPr>
    </w:p>
    <w:p w14:paraId="5630D0EF" w14:textId="77777777" w:rsidR="00BF6318" w:rsidRPr="009977AA" w:rsidRDefault="00BF6318" w:rsidP="00BF6318">
      <w:pPr>
        <w:numPr>
          <w:ilvl w:val="12"/>
          <w:numId w:val="0"/>
        </w:numPr>
        <w:ind w:right="-114"/>
        <w:jc w:val="both"/>
        <w:rPr>
          <w:b/>
          <w:bCs/>
          <w:sz w:val="22"/>
          <w:u w:val="single"/>
        </w:rPr>
      </w:pPr>
      <w:r>
        <w:rPr>
          <w:b/>
          <w:bCs/>
          <w:sz w:val="22"/>
          <w:u w:val="single"/>
        </w:rPr>
        <w:t>Foreign exchange risk</w:t>
      </w:r>
    </w:p>
    <w:p w14:paraId="29CC54D1" w14:textId="77777777" w:rsidR="00BF6318" w:rsidRDefault="00BF6318" w:rsidP="00BF6318">
      <w:pPr>
        <w:numPr>
          <w:ilvl w:val="12"/>
          <w:numId w:val="0"/>
        </w:numPr>
        <w:ind w:right="-114"/>
        <w:jc w:val="both"/>
        <w:rPr>
          <w:sz w:val="22"/>
        </w:rPr>
      </w:pPr>
    </w:p>
    <w:p w14:paraId="1EDEA74D" w14:textId="7C51BC25" w:rsidR="00BF6318" w:rsidRDefault="00BF6318" w:rsidP="00BF6318">
      <w:pPr>
        <w:numPr>
          <w:ilvl w:val="12"/>
          <w:numId w:val="0"/>
        </w:numPr>
        <w:ind w:right="-114"/>
        <w:jc w:val="both"/>
        <w:rPr>
          <w:sz w:val="22"/>
        </w:rPr>
      </w:pPr>
      <w:r>
        <w:rPr>
          <w:sz w:val="22"/>
        </w:rPr>
        <w:t xml:space="preserve">The Group’s policy is to manage foreign exchange risk which arises principally in the </w:t>
      </w:r>
      <w:r w:rsidR="003C674D">
        <w:rPr>
          <w:sz w:val="22"/>
        </w:rPr>
        <w:t>product sourcing</w:t>
      </w:r>
      <w:r>
        <w:rPr>
          <w:sz w:val="22"/>
        </w:rPr>
        <w:t xml:space="preserve"> division. The Group does this by </w:t>
      </w:r>
      <w:r w:rsidRPr="009A4139">
        <w:rPr>
          <w:sz w:val="22"/>
        </w:rPr>
        <w:t>mainly purchasing euros at a fixed rate forward and using this rate in establishing a selling price for its goods in order to maintain an acceptable margin.</w:t>
      </w:r>
    </w:p>
    <w:p w14:paraId="5EC4F27D" w14:textId="77777777" w:rsidR="00BF6318" w:rsidRDefault="00BF6318" w:rsidP="00BF6318">
      <w:pPr>
        <w:numPr>
          <w:ilvl w:val="12"/>
          <w:numId w:val="0"/>
        </w:numPr>
        <w:ind w:right="-114"/>
        <w:jc w:val="both"/>
        <w:rPr>
          <w:sz w:val="22"/>
        </w:rPr>
      </w:pPr>
    </w:p>
    <w:p w14:paraId="4497841F" w14:textId="77777777" w:rsidR="00BF6318" w:rsidRPr="009A4139" w:rsidRDefault="00BF6318" w:rsidP="00BF6318">
      <w:pPr>
        <w:numPr>
          <w:ilvl w:val="12"/>
          <w:numId w:val="0"/>
        </w:numPr>
        <w:ind w:right="-114"/>
        <w:jc w:val="both"/>
        <w:rPr>
          <w:sz w:val="22"/>
        </w:rPr>
      </w:pPr>
    </w:p>
    <w:p w14:paraId="03B46385" w14:textId="77777777" w:rsidR="00BF6318" w:rsidRDefault="00BF6318" w:rsidP="00BF6318">
      <w:pPr>
        <w:numPr>
          <w:ilvl w:val="12"/>
          <w:numId w:val="0"/>
        </w:numPr>
        <w:jc w:val="both"/>
        <w:rPr>
          <w:sz w:val="22"/>
        </w:rPr>
      </w:pPr>
    </w:p>
    <w:p w14:paraId="3A5A9905" w14:textId="77777777" w:rsidR="00BF6318" w:rsidRDefault="00BF6318" w:rsidP="00BF6318">
      <w:pPr>
        <w:overflowPunct/>
        <w:autoSpaceDE/>
        <w:autoSpaceDN/>
        <w:adjustRightInd/>
        <w:textAlignment w:val="auto"/>
        <w:rPr>
          <w:color w:val="000000"/>
          <w:sz w:val="22"/>
          <w:szCs w:val="22"/>
        </w:rPr>
      </w:pPr>
      <w:r>
        <w:rPr>
          <w:b/>
          <w:noProof/>
          <w:sz w:val="22"/>
          <w:szCs w:val="22"/>
          <w:lang w:val="en-IE"/>
        </w:rPr>
        <w:drawing>
          <wp:inline distT="0" distB="0" distL="0" distR="0" wp14:anchorId="11862489" wp14:editId="623461D3">
            <wp:extent cx="1645920" cy="594360"/>
            <wp:effectExtent l="19050" t="0" r="0" b="0"/>
            <wp:docPr id="3" name="Picture 25" descr="Aidan Huges_Signat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idan Huges_Signatures.jpg"/>
                    <pic:cNvPicPr>
                      <a:picLocks noChangeAspect="1" noChangeArrowheads="1"/>
                    </pic:cNvPicPr>
                  </pic:nvPicPr>
                  <pic:blipFill>
                    <a:blip r:embed="rId8" cstate="print"/>
                    <a:srcRect t="5640" b="9753"/>
                    <a:stretch>
                      <a:fillRect/>
                    </a:stretch>
                  </pic:blipFill>
                  <pic:spPr bwMode="auto">
                    <a:xfrm>
                      <a:off x="0" y="0"/>
                      <a:ext cx="1645920" cy="594360"/>
                    </a:xfrm>
                    <a:prstGeom prst="rect">
                      <a:avLst/>
                    </a:prstGeom>
                    <a:noFill/>
                    <a:ln w="9525">
                      <a:noFill/>
                      <a:miter lim="800000"/>
                      <a:headEnd/>
                      <a:tailEnd/>
                    </a:ln>
                  </pic:spPr>
                </pic:pic>
              </a:graphicData>
            </a:graphic>
          </wp:inline>
        </w:drawing>
      </w:r>
    </w:p>
    <w:p w14:paraId="40AD1508" w14:textId="77777777" w:rsidR="00BF6318" w:rsidRPr="00E01959" w:rsidRDefault="00BF6318" w:rsidP="00BF6318">
      <w:pPr>
        <w:numPr>
          <w:ilvl w:val="12"/>
          <w:numId w:val="0"/>
        </w:numPr>
        <w:rPr>
          <w:b/>
          <w:sz w:val="22"/>
          <w:szCs w:val="22"/>
          <w:lang w:val="en-US"/>
        </w:rPr>
      </w:pPr>
      <w:r w:rsidRPr="00E01959">
        <w:rPr>
          <w:b/>
          <w:sz w:val="22"/>
          <w:szCs w:val="22"/>
          <w:lang w:val="en-US"/>
        </w:rPr>
        <w:t>Aidan Hughes</w:t>
      </w:r>
    </w:p>
    <w:p w14:paraId="4B0CA0EF" w14:textId="77777777" w:rsidR="00BF6318" w:rsidRPr="00E01959" w:rsidRDefault="00BF6318" w:rsidP="00BF6318">
      <w:pPr>
        <w:numPr>
          <w:ilvl w:val="12"/>
          <w:numId w:val="0"/>
        </w:numPr>
        <w:rPr>
          <w:b/>
          <w:sz w:val="22"/>
          <w:szCs w:val="22"/>
          <w:lang w:val="en-US"/>
        </w:rPr>
      </w:pPr>
      <w:r w:rsidRPr="00E01959">
        <w:rPr>
          <w:b/>
          <w:sz w:val="22"/>
          <w:szCs w:val="22"/>
          <w:lang w:val="en-US"/>
        </w:rPr>
        <w:t>Finance Director</w:t>
      </w:r>
    </w:p>
    <w:p w14:paraId="3E86C02C" w14:textId="77777777" w:rsidR="00BF6318" w:rsidRDefault="00BF6318" w:rsidP="00BF6318">
      <w:pPr>
        <w:pBdr>
          <w:bottom w:val="single" w:sz="8" w:space="5" w:color="000000"/>
        </w:pBdr>
        <w:suppressAutoHyphens/>
        <w:overflowPunct/>
        <w:spacing w:line="288" w:lineRule="auto"/>
        <w:textAlignment w:val="center"/>
        <w:rPr>
          <w:rFonts w:ascii="Arial" w:hAnsi="Arial" w:cs="Arial"/>
          <w:b/>
          <w:bCs/>
          <w:caps/>
          <w:color w:val="000000"/>
          <w:sz w:val="30"/>
          <w:szCs w:val="30"/>
          <w:lang w:eastAsia="en-GB"/>
        </w:rPr>
      </w:pPr>
      <w:r>
        <w:rPr>
          <w:rFonts w:ascii="Arial" w:hAnsi="Arial" w:cs="Arial"/>
          <w:b/>
          <w:bCs/>
          <w:caps/>
          <w:color w:val="000000"/>
          <w:sz w:val="30"/>
          <w:szCs w:val="30"/>
          <w:lang w:eastAsia="en-GB"/>
        </w:rPr>
        <w:br w:type="page"/>
      </w:r>
    </w:p>
    <w:p w14:paraId="149277B7" w14:textId="77777777" w:rsidR="00921DCA" w:rsidRPr="005B73B6" w:rsidRDefault="00921DCA" w:rsidP="00921DCA">
      <w:pPr>
        <w:pBdr>
          <w:bottom w:val="single" w:sz="4" w:space="1" w:color="auto"/>
        </w:pBdr>
        <w:rPr>
          <w:rFonts w:ascii="Arial" w:hAnsi="Arial" w:cs="Arial"/>
          <w:b/>
          <w:bCs/>
          <w:caps/>
          <w:color w:val="000000"/>
          <w:sz w:val="30"/>
          <w:szCs w:val="30"/>
          <w:lang w:eastAsia="en-GB"/>
        </w:rPr>
      </w:pPr>
      <w:bookmarkStart w:id="6" w:name="_Hlk65411589"/>
      <w:r w:rsidRPr="005B73B6">
        <w:rPr>
          <w:rFonts w:ascii="Arial" w:hAnsi="Arial" w:cs="Arial"/>
          <w:b/>
          <w:bCs/>
          <w:caps/>
          <w:color w:val="000000"/>
          <w:sz w:val="30"/>
          <w:szCs w:val="30"/>
          <w:lang w:eastAsia="en-GB"/>
        </w:rPr>
        <w:lastRenderedPageBreak/>
        <w:t>Consolidated STATEMENT OF COMPREHENSIVE INCOME</w:t>
      </w:r>
    </w:p>
    <w:p w14:paraId="520773C2" w14:textId="77777777" w:rsidR="00921DCA" w:rsidRPr="005B73B6" w:rsidRDefault="00921DCA" w:rsidP="00921DCA">
      <w:pPr>
        <w:widowControl w:val="0"/>
        <w:rPr>
          <w:i/>
          <w:sz w:val="28"/>
          <w:szCs w:val="28"/>
        </w:rPr>
      </w:pPr>
    </w:p>
    <w:p w14:paraId="02F0AFDF" w14:textId="77777777" w:rsidR="00921DCA" w:rsidRPr="005B73B6" w:rsidRDefault="00921DCA" w:rsidP="00921DCA">
      <w:pPr>
        <w:widowControl w:val="0"/>
        <w:rPr>
          <w:b/>
          <w:iCs/>
          <w:sz w:val="28"/>
          <w:szCs w:val="28"/>
        </w:rPr>
      </w:pPr>
      <w:r w:rsidRPr="005B73B6">
        <w:rPr>
          <w:i/>
          <w:sz w:val="28"/>
          <w:szCs w:val="28"/>
        </w:rPr>
        <w:t>for the financial year ended 31 December 20</w:t>
      </w:r>
      <w:r>
        <w:rPr>
          <w:i/>
          <w:sz w:val="28"/>
          <w:szCs w:val="28"/>
        </w:rPr>
        <w:t>20</w:t>
      </w:r>
    </w:p>
    <w:tbl>
      <w:tblPr>
        <w:tblW w:w="9578" w:type="dxa"/>
        <w:tblLayout w:type="fixed"/>
        <w:tblCellMar>
          <w:left w:w="0" w:type="dxa"/>
          <w:right w:w="0" w:type="dxa"/>
        </w:tblCellMar>
        <w:tblLook w:val="0000" w:firstRow="0" w:lastRow="0" w:firstColumn="0" w:lastColumn="0" w:noHBand="0" w:noVBand="0"/>
      </w:tblPr>
      <w:tblGrid>
        <w:gridCol w:w="4977"/>
        <w:gridCol w:w="1188"/>
        <w:gridCol w:w="1188"/>
        <w:gridCol w:w="1110"/>
        <w:gridCol w:w="1115"/>
      </w:tblGrid>
      <w:tr w:rsidR="00921DCA" w:rsidRPr="005B73B6" w14:paraId="76D1D3F1" w14:textId="77777777" w:rsidTr="00545189">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6697C20B" w14:textId="77777777" w:rsidR="00921DCA" w:rsidRPr="005B73B6" w:rsidRDefault="00921DCA" w:rsidP="00545189"/>
        </w:tc>
        <w:tc>
          <w:tcPr>
            <w:tcW w:w="1188" w:type="dxa"/>
            <w:tcBorders>
              <w:top w:val="nil"/>
              <w:left w:val="nil"/>
              <w:bottom w:val="nil"/>
              <w:right w:val="nil"/>
            </w:tcBorders>
          </w:tcPr>
          <w:p w14:paraId="7104B1DB" w14:textId="73EDE9E1" w:rsidR="00921DCA" w:rsidRPr="005B73B6" w:rsidRDefault="00921DCA" w:rsidP="00545189">
            <w:pPr>
              <w:rPr>
                <w:b/>
                <w:bCs/>
                <w:sz w:val="22"/>
                <w:szCs w:val="22"/>
              </w:rPr>
            </w:pPr>
          </w:p>
        </w:tc>
        <w:tc>
          <w:tcPr>
            <w:tcW w:w="1188" w:type="dxa"/>
            <w:tcBorders>
              <w:top w:val="nil"/>
              <w:left w:val="nil"/>
              <w:bottom w:val="nil"/>
              <w:right w:val="nil"/>
            </w:tcBorders>
          </w:tcPr>
          <w:p w14:paraId="5C281026" w14:textId="77777777" w:rsidR="00921DCA" w:rsidRPr="005B73B6" w:rsidRDefault="00921DCA" w:rsidP="00545189">
            <w:pPr>
              <w:rPr>
                <w:b/>
                <w:bCs/>
                <w:sz w:val="22"/>
                <w:szCs w:val="22"/>
              </w:rPr>
            </w:pPr>
          </w:p>
        </w:tc>
        <w:tc>
          <w:tcPr>
            <w:tcW w:w="1110" w:type="dxa"/>
            <w:tcBorders>
              <w:top w:val="nil"/>
              <w:left w:val="nil"/>
              <w:bottom w:val="nil"/>
              <w:right w:val="nil"/>
            </w:tcBorders>
            <w:vAlign w:val="bottom"/>
          </w:tcPr>
          <w:p w14:paraId="080069BC" w14:textId="77777777" w:rsidR="00921DCA" w:rsidRPr="005B73B6" w:rsidRDefault="00921DCA" w:rsidP="00545189">
            <w:pPr>
              <w:rPr>
                <w:b/>
                <w:bCs/>
                <w:sz w:val="22"/>
                <w:szCs w:val="22"/>
              </w:rPr>
            </w:pPr>
          </w:p>
          <w:p w14:paraId="12E5024E" w14:textId="77777777" w:rsidR="00921DCA" w:rsidRPr="005B73B6" w:rsidRDefault="00921DCA" w:rsidP="00545189">
            <w:pPr>
              <w:jc w:val="right"/>
              <w:rPr>
                <w:b/>
                <w:bCs/>
                <w:sz w:val="22"/>
                <w:szCs w:val="22"/>
              </w:rPr>
            </w:pPr>
            <w:r w:rsidRPr="005B73B6">
              <w:rPr>
                <w:b/>
                <w:bCs/>
                <w:sz w:val="22"/>
                <w:szCs w:val="22"/>
              </w:rPr>
              <w:t>20</w:t>
            </w:r>
            <w:r>
              <w:rPr>
                <w:b/>
                <w:bCs/>
                <w:sz w:val="22"/>
                <w:szCs w:val="22"/>
              </w:rPr>
              <w:t>20</w:t>
            </w:r>
          </w:p>
        </w:tc>
        <w:tc>
          <w:tcPr>
            <w:tcW w:w="1115" w:type="dxa"/>
            <w:tcBorders>
              <w:top w:val="nil"/>
              <w:left w:val="nil"/>
              <w:bottom w:val="nil"/>
              <w:right w:val="nil"/>
            </w:tcBorders>
            <w:noWrap/>
            <w:tcMar>
              <w:top w:w="15" w:type="dxa"/>
              <w:left w:w="15" w:type="dxa"/>
              <w:bottom w:w="0" w:type="dxa"/>
              <w:right w:w="15" w:type="dxa"/>
            </w:tcMar>
            <w:vAlign w:val="bottom"/>
          </w:tcPr>
          <w:p w14:paraId="769615DE" w14:textId="77777777" w:rsidR="00921DCA" w:rsidRPr="005B73B6" w:rsidRDefault="00921DCA" w:rsidP="00545189">
            <w:pPr>
              <w:jc w:val="right"/>
            </w:pPr>
            <w:r w:rsidRPr="005B73B6">
              <w:rPr>
                <w:sz w:val="22"/>
                <w:szCs w:val="22"/>
              </w:rPr>
              <w:t>201</w:t>
            </w:r>
            <w:r>
              <w:rPr>
                <w:sz w:val="22"/>
                <w:szCs w:val="22"/>
              </w:rPr>
              <w:t>9</w:t>
            </w:r>
          </w:p>
        </w:tc>
      </w:tr>
      <w:tr w:rsidR="00921DCA" w:rsidRPr="005B73B6" w14:paraId="11970CFE" w14:textId="77777777" w:rsidTr="00545189">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6ABCACC6" w14:textId="77777777" w:rsidR="00921DCA" w:rsidRPr="005B73B6" w:rsidRDefault="00921DCA" w:rsidP="00545189"/>
        </w:tc>
        <w:tc>
          <w:tcPr>
            <w:tcW w:w="1188" w:type="dxa"/>
            <w:tcBorders>
              <w:top w:val="nil"/>
              <w:left w:val="nil"/>
              <w:bottom w:val="nil"/>
              <w:right w:val="nil"/>
            </w:tcBorders>
          </w:tcPr>
          <w:p w14:paraId="633D1B3E" w14:textId="77777777" w:rsidR="00921DCA" w:rsidRPr="005B73B6" w:rsidRDefault="00921DCA" w:rsidP="00545189">
            <w:pPr>
              <w:jc w:val="right"/>
              <w:rPr>
                <w:b/>
                <w:bCs/>
                <w:sz w:val="22"/>
                <w:szCs w:val="22"/>
              </w:rPr>
            </w:pPr>
          </w:p>
        </w:tc>
        <w:tc>
          <w:tcPr>
            <w:tcW w:w="1188" w:type="dxa"/>
            <w:tcBorders>
              <w:top w:val="nil"/>
              <w:left w:val="nil"/>
              <w:bottom w:val="nil"/>
              <w:right w:val="nil"/>
            </w:tcBorders>
          </w:tcPr>
          <w:p w14:paraId="3A4B0845" w14:textId="77777777" w:rsidR="00921DCA" w:rsidRPr="005B73B6" w:rsidRDefault="00921DCA" w:rsidP="00545189">
            <w:pPr>
              <w:jc w:val="right"/>
              <w:rPr>
                <w:b/>
                <w:bCs/>
                <w:sz w:val="22"/>
                <w:szCs w:val="22"/>
              </w:rPr>
            </w:pPr>
          </w:p>
        </w:tc>
        <w:tc>
          <w:tcPr>
            <w:tcW w:w="1110" w:type="dxa"/>
            <w:tcBorders>
              <w:top w:val="nil"/>
              <w:left w:val="nil"/>
              <w:bottom w:val="nil"/>
              <w:right w:val="nil"/>
            </w:tcBorders>
          </w:tcPr>
          <w:p w14:paraId="6B89045F" w14:textId="77777777" w:rsidR="00921DCA" w:rsidRPr="005B73B6" w:rsidRDefault="00921DCA" w:rsidP="00545189">
            <w:pPr>
              <w:jc w:val="right"/>
              <w:rPr>
                <w:b/>
                <w:bCs/>
                <w:sz w:val="22"/>
                <w:szCs w:val="22"/>
              </w:rPr>
            </w:pPr>
            <w:r w:rsidRPr="005B73B6">
              <w:rPr>
                <w:b/>
                <w:bCs/>
                <w:sz w:val="22"/>
                <w:szCs w:val="22"/>
              </w:rPr>
              <w:t>£’000</w:t>
            </w:r>
          </w:p>
        </w:tc>
        <w:tc>
          <w:tcPr>
            <w:tcW w:w="1115" w:type="dxa"/>
            <w:tcBorders>
              <w:top w:val="nil"/>
              <w:left w:val="nil"/>
              <w:bottom w:val="nil"/>
              <w:right w:val="nil"/>
            </w:tcBorders>
            <w:noWrap/>
            <w:tcMar>
              <w:top w:w="15" w:type="dxa"/>
              <w:left w:w="15" w:type="dxa"/>
              <w:bottom w:w="0" w:type="dxa"/>
              <w:right w:w="15" w:type="dxa"/>
            </w:tcMar>
            <w:vAlign w:val="bottom"/>
          </w:tcPr>
          <w:p w14:paraId="0279B164" w14:textId="77777777" w:rsidR="00921DCA" w:rsidRPr="005B73B6" w:rsidRDefault="00921DCA" w:rsidP="00545189">
            <w:pPr>
              <w:jc w:val="right"/>
              <w:rPr>
                <w:sz w:val="22"/>
                <w:szCs w:val="22"/>
              </w:rPr>
            </w:pPr>
            <w:r w:rsidRPr="005B73B6">
              <w:rPr>
                <w:sz w:val="22"/>
                <w:szCs w:val="22"/>
              </w:rPr>
              <w:t xml:space="preserve">£’000 </w:t>
            </w:r>
          </w:p>
        </w:tc>
      </w:tr>
      <w:tr w:rsidR="00921DCA" w:rsidRPr="005B73B6" w14:paraId="5C693FBF" w14:textId="77777777" w:rsidTr="00545189">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6ADA2093" w14:textId="77777777" w:rsidR="00921DCA" w:rsidRPr="005B73B6" w:rsidRDefault="00921DCA" w:rsidP="00545189">
            <w:pPr>
              <w:rPr>
                <w:b/>
                <w:bCs/>
              </w:rPr>
            </w:pPr>
          </w:p>
        </w:tc>
        <w:tc>
          <w:tcPr>
            <w:tcW w:w="1188" w:type="dxa"/>
            <w:tcBorders>
              <w:top w:val="nil"/>
              <w:left w:val="nil"/>
              <w:bottom w:val="nil"/>
              <w:right w:val="nil"/>
            </w:tcBorders>
          </w:tcPr>
          <w:p w14:paraId="4D209000" w14:textId="77777777" w:rsidR="00921DCA" w:rsidRPr="005B73B6" w:rsidRDefault="00921DCA" w:rsidP="00545189"/>
        </w:tc>
        <w:tc>
          <w:tcPr>
            <w:tcW w:w="1188" w:type="dxa"/>
            <w:tcBorders>
              <w:top w:val="nil"/>
              <w:left w:val="nil"/>
              <w:bottom w:val="nil"/>
              <w:right w:val="nil"/>
            </w:tcBorders>
          </w:tcPr>
          <w:p w14:paraId="75413FB7" w14:textId="77777777" w:rsidR="00921DCA" w:rsidRPr="005B73B6" w:rsidRDefault="00921DCA" w:rsidP="00545189"/>
        </w:tc>
        <w:tc>
          <w:tcPr>
            <w:tcW w:w="1110" w:type="dxa"/>
            <w:tcBorders>
              <w:top w:val="nil"/>
              <w:left w:val="nil"/>
              <w:bottom w:val="nil"/>
              <w:right w:val="nil"/>
            </w:tcBorders>
            <w:vAlign w:val="bottom"/>
          </w:tcPr>
          <w:p w14:paraId="63364903" w14:textId="77777777" w:rsidR="00921DCA" w:rsidRPr="005B73B6" w:rsidRDefault="00921DCA" w:rsidP="00545189"/>
        </w:tc>
        <w:tc>
          <w:tcPr>
            <w:tcW w:w="1115" w:type="dxa"/>
            <w:tcBorders>
              <w:top w:val="nil"/>
              <w:left w:val="nil"/>
              <w:bottom w:val="nil"/>
              <w:right w:val="nil"/>
            </w:tcBorders>
            <w:noWrap/>
            <w:tcMar>
              <w:top w:w="15" w:type="dxa"/>
              <w:left w:w="15" w:type="dxa"/>
              <w:bottom w:w="0" w:type="dxa"/>
              <w:right w:w="15" w:type="dxa"/>
            </w:tcMar>
            <w:vAlign w:val="bottom"/>
          </w:tcPr>
          <w:p w14:paraId="349BE9E8" w14:textId="77777777" w:rsidR="00921DCA" w:rsidRPr="005B73B6" w:rsidRDefault="00921DCA" w:rsidP="00545189"/>
        </w:tc>
      </w:tr>
      <w:tr w:rsidR="00921DCA" w:rsidRPr="005B73B6" w14:paraId="2918FF53" w14:textId="77777777" w:rsidTr="00545189">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4CBF73C1" w14:textId="77777777" w:rsidR="00921DCA" w:rsidRPr="005B73B6" w:rsidRDefault="00921DCA" w:rsidP="00545189">
            <w:pPr>
              <w:rPr>
                <w:b/>
                <w:bCs/>
              </w:rPr>
            </w:pPr>
            <w:r w:rsidRPr="005B73B6">
              <w:rPr>
                <w:b/>
                <w:bCs/>
                <w:sz w:val="22"/>
                <w:szCs w:val="22"/>
              </w:rPr>
              <w:t>Continuing operations</w:t>
            </w:r>
          </w:p>
        </w:tc>
        <w:tc>
          <w:tcPr>
            <w:tcW w:w="1188" w:type="dxa"/>
            <w:tcBorders>
              <w:top w:val="nil"/>
              <w:left w:val="nil"/>
              <w:right w:val="nil"/>
            </w:tcBorders>
          </w:tcPr>
          <w:p w14:paraId="67C88622" w14:textId="77777777" w:rsidR="00921DCA" w:rsidRPr="005B73B6" w:rsidRDefault="00921DCA" w:rsidP="00545189"/>
        </w:tc>
        <w:tc>
          <w:tcPr>
            <w:tcW w:w="1188" w:type="dxa"/>
            <w:tcBorders>
              <w:top w:val="nil"/>
              <w:left w:val="nil"/>
              <w:right w:val="nil"/>
            </w:tcBorders>
          </w:tcPr>
          <w:p w14:paraId="12CEAA16" w14:textId="77777777" w:rsidR="00921DCA" w:rsidRPr="005B73B6" w:rsidRDefault="00921DCA" w:rsidP="00545189"/>
        </w:tc>
        <w:tc>
          <w:tcPr>
            <w:tcW w:w="1110" w:type="dxa"/>
            <w:tcBorders>
              <w:top w:val="nil"/>
              <w:left w:val="nil"/>
              <w:bottom w:val="nil"/>
              <w:right w:val="nil"/>
            </w:tcBorders>
            <w:vAlign w:val="bottom"/>
          </w:tcPr>
          <w:p w14:paraId="1D5FB867" w14:textId="77777777" w:rsidR="00921DCA" w:rsidRPr="005B73B6" w:rsidRDefault="00921DCA" w:rsidP="00545189"/>
        </w:tc>
        <w:tc>
          <w:tcPr>
            <w:tcW w:w="1115" w:type="dxa"/>
            <w:tcBorders>
              <w:top w:val="nil"/>
              <w:left w:val="nil"/>
              <w:bottom w:val="nil"/>
              <w:right w:val="nil"/>
            </w:tcBorders>
            <w:noWrap/>
            <w:tcMar>
              <w:top w:w="15" w:type="dxa"/>
              <w:left w:w="15" w:type="dxa"/>
              <w:bottom w:w="0" w:type="dxa"/>
              <w:right w:w="15" w:type="dxa"/>
            </w:tcMar>
            <w:vAlign w:val="bottom"/>
          </w:tcPr>
          <w:p w14:paraId="7C3219E9" w14:textId="77777777" w:rsidR="00921DCA" w:rsidRPr="005B73B6" w:rsidRDefault="00921DCA" w:rsidP="00545189"/>
        </w:tc>
      </w:tr>
      <w:tr w:rsidR="00921DCA" w:rsidRPr="005B73B6" w14:paraId="7950135A" w14:textId="77777777" w:rsidTr="00545189">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3F07DA69" w14:textId="77777777" w:rsidR="00921DCA" w:rsidRPr="005B73B6" w:rsidRDefault="00921DCA" w:rsidP="00545189">
            <w:r w:rsidRPr="005B73B6">
              <w:rPr>
                <w:sz w:val="22"/>
                <w:szCs w:val="22"/>
              </w:rPr>
              <w:t>Revenue</w:t>
            </w:r>
          </w:p>
        </w:tc>
        <w:tc>
          <w:tcPr>
            <w:tcW w:w="1188" w:type="dxa"/>
            <w:tcBorders>
              <w:top w:val="nil"/>
              <w:left w:val="nil"/>
              <w:bottom w:val="nil"/>
              <w:right w:val="nil"/>
            </w:tcBorders>
          </w:tcPr>
          <w:p w14:paraId="2B52BE05" w14:textId="093250E1" w:rsidR="00921DCA" w:rsidRPr="005B73B6" w:rsidRDefault="00921DCA" w:rsidP="00545189">
            <w:pPr>
              <w:rPr>
                <w:sz w:val="22"/>
                <w:szCs w:val="22"/>
              </w:rPr>
            </w:pPr>
          </w:p>
        </w:tc>
        <w:tc>
          <w:tcPr>
            <w:tcW w:w="1188" w:type="dxa"/>
            <w:tcBorders>
              <w:top w:val="nil"/>
              <w:left w:val="nil"/>
              <w:bottom w:val="nil"/>
              <w:right w:val="nil"/>
            </w:tcBorders>
          </w:tcPr>
          <w:p w14:paraId="2050916C" w14:textId="77777777" w:rsidR="00921DCA" w:rsidRPr="005B73B6" w:rsidRDefault="00921DCA" w:rsidP="00545189">
            <w:pPr>
              <w:rPr>
                <w:sz w:val="22"/>
                <w:szCs w:val="22"/>
              </w:rPr>
            </w:pPr>
          </w:p>
        </w:tc>
        <w:tc>
          <w:tcPr>
            <w:tcW w:w="1110" w:type="dxa"/>
            <w:tcBorders>
              <w:top w:val="nil"/>
              <w:left w:val="nil"/>
              <w:bottom w:val="nil"/>
              <w:right w:val="nil"/>
            </w:tcBorders>
            <w:vAlign w:val="bottom"/>
          </w:tcPr>
          <w:p w14:paraId="4DE79A46" w14:textId="77777777" w:rsidR="00921DCA" w:rsidRPr="005B73B6" w:rsidRDefault="00921DCA" w:rsidP="00545189">
            <w:pPr>
              <w:jc w:val="right"/>
              <w:rPr>
                <w:b/>
              </w:rPr>
            </w:pPr>
            <w:r>
              <w:rPr>
                <w:b/>
                <w:sz w:val="22"/>
                <w:szCs w:val="22"/>
              </w:rPr>
              <w:t>33,361</w:t>
            </w:r>
          </w:p>
        </w:tc>
        <w:tc>
          <w:tcPr>
            <w:tcW w:w="1115" w:type="dxa"/>
            <w:tcBorders>
              <w:top w:val="nil"/>
              <w:left w:val="nil"/>
              <w:bottom w:val="nil"/>
              <w:right w:val="nil"/>
            </w:tcBorders>
            <w:noWrap/>
            <w:tcMar>
              <w:top w:w="15" w:type="dxa"/>
              <w:left w:w="15" w:type="dxa"/>
              <w:bottom w:w="0" w:type="dxa"/>
              <w:right w:w="15" w:type="dxa"/>
            </w:tcMar>
            <w:vAlign w:val="bottom"/>
          </w:tcPr>
          <w:p w14:paraId="4916588E" w14:textId="77777777" w:rsidR="00921DCA" w:rsidRPr="005B73B6" w:rsidRDefault="00921DCA" w:rsidP="00545189">
            <w:pPr>
              <w:jc w:val="right"/>
            </w:pPr>
            <w:r>
              <w:rPr>
                <w:sz w:val="22"/>
                <w:szCs w:val="22"/>
              </w:rPr>
              <w:t>34,100</w:t>
            </w:r>
          </w:p>
        </w:tc>
      </w:tr>
      <w:tr w:rsidR="00921DCA" w:rsidRPr="005B73B6" w14:paraId="3FFF1EC0" w14:textId="77777777" w:rsidTr="00545189">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100366C0" w14:textId="77777777" w:rsidR="00921DCA" w:rsidRPr="005B73B6" w:rsidRDefault="00921DCA" w:rsidP="00545189">
            <w:r w:rsidRPr="005B73B6">
              <w:rPr>
                <w:sz w:val="22"/>
                <w:szCs w:val="22"/>
              </w:rPr>
              <w:t>Cost of sales</w:t>
            </w:r>
          </w:p>
        </w:tc>
        <w:tc>
          <w:tcPr>
            <w:tcW w:w="1188" w:type="dxa"/>
            <w:tcBorders>
              <w:top w:val="nil"/>
              <w:left w:val="nil"/>
              <w:bottom w:val="nil"/>
              <w:right w:val="nil"/>
            </w:tcBorders>
          </w:tcPr>
          <w:p w14:paraId="6D897B62" w14:textId="77777777" w:rsidR="00921DCA" w:rsidRPr="005B73B6" w:rsidRDefault="00921DCA" w:rsidP="00545189">
            <w:pPr>
              <w:rPr>
                <w:sz w:val="22"/>
                <w:szCs w:val="22"/>
              </w:rPr>
            </w:pPr>
          </w:p>
        </w:tc>
        <w:tc>
          <w:tcPr>
            <w:tcW w:w="1188" w:type="dxa"/>
            <w:tcBorders>
              <w:top w:val="nil"/>
              <w:left w:val="nil"/>
              <w:bottom w:val="nil"/>
              <w:right w:val="nil"/>
            </w:tcBorders>
          </w:tcPr>
          <w:p w14:paraId="4E4F622D" w14:textId="77777777" w:rsidR="00921DCA" w:rsidRPr="005B73B6" w:rsidRDefault="00921DCA" w:rsidP="00545189">
            <w:pPr>
              <w:rPr>
                <w:sz w:val="22"/>
                <w:szCs w:val="22"/>
              </w:rPr>
            </w:pPr>
          </w:p>
        </w:tc>
        <w:tc>
          <w:tcPr>
            <w:tcW w:w="1110" w:type="dxa"/>
            <w:tcBorders>
              <w:top w:val="nil"/>
              <w:left w:val="nil"/>
              <w:bottom w:val="nil"/>
              <w:right w:val="nil"/>
            </w:tcBorders>
            <w:vAlign w:val="bottom"/>
          </w:tcPr>
          <w:p w14:paraId="567630B0" w14:textId="77777777" w:rsidR="00921DCA" w:rsidRPr="005B73B6" w:rsidRDefault="00921DCA" w:rsidP="00545189">
            <w:pPr>
              <w:jc w:val="right"/>
              <w:rPr>
                <w:b/>
              </w:rPr>
            </w:pPr>
            <w:r w:rsidRPr="005B73B6">
              <w:rPr>
                <w:b/>
                <w:sz w:val="22"/>
                <w:szCs w:val="22"/>
              </w:rPr>
              <w:t>(</w:t>
            </w:r>
            <w:r>
              <w:rPr>
                <w:b/>
                <w:sz w:val="22"/>
                <w:szCs w:val="22"/>
              </w:rPr>
              <w:t>30,389</w:t>
            </w:r>
            <w:r w:rsidRPr="005B73B6">
              <w:rPr>
                <w:b/>
                <w:sz w:val="22"/>
                <w:szCs w:val="22"/>
              </w:rPr>
              <w:t>)</w:t>
            </w:r>
          </w:p>
        </w:tc>
        <w:tc>
          <w:tcPr>
            <w:tcW w:w="1115" w:type="dxa"/>
            <w:tcBorders>
              <w:top w:val="nil"/>
              <w:left w:val="nil"/>
              <w:bottom w:val="nil"/>
              <w:right w:val="nil"/>
            </w:tcBorders>
            <w:noWrap/>
            <w:tcMar>
              <w:top w:w="15" w:type="dxa"/>
              <w:left w:w="15" w:type="dxa"/>
              <w:bottom w:w="0" w:type="dxa"/>
              <w:right w:w="15" w:type="dxa"/>
            </w:tcMar>
            <w:vAlign w:val="bottom"/>
          </w:tcPr>
          <w:p w14:paraId="0F36AFB3" w14:textId="77777777" w:rsidR="00921DCA" w:rsidRPr="005B73B6" w:rsidRDefault="00921DCA" w:rsidP="00545189">
            <w:pPr>
              <w:jc w:val="right"/>
            </w:pPr>
            <w:r w:rsidRPr="005B73B6">
              <w:rPr>
                <w:sz w:val="22"/>
                <w:szCs w:val="22"/>
              </w:rPr>
              <w:t>(</w:t>
            </w:r>
            <w:r>
              <w:rPr>
                <w:sz w:val="22"/>
                <w:szCs w:val="22"/>
              </w:rPr>
              <w:t>30,733</w:t>
            </w:r>
            <w:r w:rsidRPr="005B73B6">
              <w:rPr>
                <w:sz w:val="22"/>
                <w:szCs w:val="22"/>
              </w:rPr>
              <w:t>)</w:t>
            </w:r>
          </w:p>
        </w:tc>
      </w:tr>
      <w:tr w:rsidR="00921DCA" w:rsidRPr="005B73B6" w14:paraId="6426E0A7" w14:textId="77777777" w:rsidTr="00545189">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394B727C" w14:textId="77777777" w:rsidR="00921DCA" w:rsidRPr="005B73B6" w:rsidRDefault="00921DCA" w:rsidP="00545189"/>
        </w:tc>
        <w:tc>
          <w:tcPr>
            <w:tcW w:w="1188" w:type="dxa"/>
            <w:tcBorders>
              <w:top w:val="nil"/>
              <w:left w:val="nil"/>
              <w:bottom w:val="nil"/>
              <w:right w:val="nil"/>
            </w:tcBorders>
          </w:tcPr>
          <w:p w14:paraId="1E73C482" w14:textId="77777777" w:rsidR="00921DCA" w:rsidRPr="005B73B6" w:rsidRDefault="00921DCA" w:rsidP="00545189"/>
        </w:tc>
        <w:tc>
          <w:tcPr>
            <w:tcW w:w="1188" w:type="dxa"/>
            <w:tcBorders>
              <w:top w:val="nil"/>
              <w:left w:val="nil"/>
              <w:bottom w:val="nil"/>
              <w:right w:val="nil"/>
            </w:tcBorders>
          </w:tcPr>
          <w:p w14:paraId="5A467150" w14:textId="77777777" w:rsidR="00921DCA" w:rsidRPr="005B73B6" w:rsidRDefault="00921DCA" w:rsidP="00545189"/>
        </w:tc>
        <w:tc>
          <w:tcPr>
            <w:tcW w:w="1110" w:type="dxa"/>
            <w:tcBorders>
              <w:top w:val="nil"/>
              <w:left w:val="nil"/>
              <w:bottom w:val="nil"/>
              <w:right w:val="nil"/>
            </w:tcBorders>
            <w:vAlign w:val="bottom"/>
          </w:tcPr>
          <w:p w14:paraId="5B75EBD8" w14:textId="77777777" w:rsidR="00921DCA" w:rsidRPr="005B73B6" w:rsidRDefault="00921DCA" w:rsidP="00545189">
            <w:pPr>
              <w:rPr>
                <w:b/>
              </w:rPr>
            </w:pPr>
          </w:p>
        </w:tc>
        <w:tc>
          <w:tcPr>
            <w:tcW w:w="1115" w:type="dxa"/>
            <w:tcBorders>
              <w:top w:val="nil"/>
              <w:left w:val="nil"/>
              <w:bottom w:val="nil"/>
              <w:right w:val="nil"/>
            </w:tcBorders>
            <w:noWrap/>
            <w:tcMar>
              <w:top w:w="15" w:type="dxa"/>
              <w:left w:w="15" w:type="dxa"/>
              <w:bottom w:w="0" w:type="dxa"/>
              <w:right w:w="15" w:type="dxa"/>
            </w:tcMar>
            <w:vAlign w:val="bottom"/>
          </w:tcPr>
          <w:p w14:paraId="55E598E1" w14:textId="77777777" w:rsidR="00921DCA" w:rsidRPr="005B73B6" w:rsidRDefault="00921DCA" w:rsidP="00545189"/>
        </w:tc>
      </w:tr>
      <w:tr w:rsidR="00921DCA" w:rsidRPr="005B73B6" w14:paraId="36402746" w14:textId="77777777" w:rsidTr="00545189">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42855C9B" w14:textId="77777777" w:rsidR="00921DCA" w:rsidRPr="005B73B6" w:rsidRDefault="00921DCA" w:rsidP="00545189">
            <w:pPr>
              <w:rPr>
                <w:b/>
                <w:bCs/>
              </w:rPr>
            </w:pPr>
            <w:r w:rsidRPr="005B73B6">
              <w:rPr>
                <w:b/>
                <w:bCs/>
                <w:sz w:val="22"/>
                <w:szCs w:val="22"/>
              </w:rPr>
              <w:t>Gross profit</w:t>
            </w:r>
          </w:p>
        </w:tc>
        <w:tc>
          <w:tcPr>
            <w:tcW w:w="1188" w:type="dxa"/>
            <w:tcBorders>
              <w:left w:val="nil"/>
              <w:right w:val="nil"/>
            </w:tcBorders>
          </w:tcPr>
          <w:p w14:paraId="113E7C68" w14:textId="77777777" w:rsidR="00921DCA" w:rsidRPr="005B73B6" w:rsidRDefault="00921DCA" w:rsidP="00545189">
            <w:pPr>
              <w:rPr>
                <w:sz w:val="22"/>
                <w:szCs w:val="22"/>
              </w:rPr>
            </w:pPr>
          </w:p>
        </w:tc>
        <w:tc>
          <w:tcPr>
            <w:tcW w:w="1188" w:type="dxa"/>
            <w:tcBorders>
              <w:left w:val="nil"/>
              <w:right w:val="nil"/>
            </w:tcBorders>
          </w:tcPr>
          <w:p w14:paraId="253749F2" w14:textId="77777777" w:rsidR="00921DCA" w:rsidRPr="005B73B6" w:rsidRDefault="00921DCA" w:rsidP="00545189">
            <w:pPr>
              <w:rPr>
                <w:sz w:val="22"/>
                <w:szCs w:val="22"/>
              </w:rPr>
            </w:pPr>
          </w:p>
        </w:tc>
        <w:tc>
          <w:tcPr>
            <w:tcW w:w="1110" w:type="dxa"/>
            <w:tcBorders>
              <w:top w:val="single" w:sz="4" w:space="0" w:color="auto"/>
              <w:left w:val="nil"/>
              <w:bottom w:val="single" w:sz="4" w:space="0" w:color="auto"/>
              <w:right w:val="nil"/>
            </w:tcBorders>
            <w:vAlign w:val="bottom"/>
          </w:tcPr>
          <w:p w14:paraId="551C8A2D" w14:textId="77777777" w:rsidR="00921DCA" w:rsidRPr="005B73B6" w:rsidRDefault="00921DCA" w:rsidP="00545189">
            <w:pPr>
              <w:jc w:val="right"/>
              <w:rPr>
                <w:b/>
              </w:rPr>
            </w:pPr>
            <w:r>
              <w:rPr>
                <w:b/>
                <w:sz w:val="22"/>
                <w:szCs w:val="22"/>
              </w:rPr>
              <w:t>2,972</w:t>
            </w:r>
          </w:p>
        </w:tc>
        <w:tc>
          <w:tcPr>
            <w:tcW w:w="1115"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42EDC234" w14:textId="77777777" w:rsidR="00921DCA" w:rsidRPr="005B73B6" w:rsidRDefault="00921DCA" w:rsidP="00545189">
            <w:pPr>
              <w:jc w:val="right"/>
            </w:pPr>
            <w:r w:rsidRPr="005B73B6">
              <w:rPr>
                <w:sz w:val="22"/>
                <w:szCs w:val="22"/>
              </w:rPr>
              <w:t>3,</w:t>
            </w:r>
            <w:r>
              <w:rPr>
                <w:sz w:val="22"/>
                <w:szCs w:val="22"/>
              </w:rPr>
              <w:t>367</w:t>
            </w:r>
          </w:p>
        </w:tc>
      </w:tr>
      <w:tr w:rsidR="00921DCA" w:rsidRPr="005B73B6" w14:paraId="37FF5DE6" w14:textId="77777777" w:rsidTr="00545189">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562F6EDC" w14:textId="77777777" w:rsidR="00921DCA" w:rsidRPr="005B73B6" w:rsidRDefault="00921DCA" w:rsidP="00545189"/>
        </w:tc>
        <w:tc>
          <w:tcPr>
            <w:tcW w:w="1188" w:type="dxa"/>
            <w:tcBorders>
              <w:top w:val="nil"/>
              <w:left w:val="nil"/>
              <w:bottom w:val="nil"/>
              <w:right w:val="nil"/>
            </w:tcBorders>
          </w:tcPr>
          <w:p w14:paraId="74BCE43B" w14:textId="77777777" w:rsidR="00921DCA" w:rsidRPr="005B73B6" w:rsidRDefault="00921DCA" w:rsidP="00545189"/>
        </w:tc>
        <w:tc>
          <w:tcPr>
            <w:tcW w:w="1188" w:type="dxa"/>
            <w:tcBorders>
              <w:top w:val="nil"/>
              <w:left w:val="nil"/>
              <w:bottom w:val="nil"/>
              <w:right w:val="nil"/>
            </w:tcBorders>
          </w:tcPr>
          <w:p w14:paraId="0D8CA45F" w14:textId="77777777" w:rsidR="00921DCA" w:rsidRPr="005B73B6" w:rsidRDefault="00921DCA" w:rsidP="00545189"/>
        </w:tc>
        <w:tc>
          <w:tcPr>
            <w:tcW w:w="1110" w:type="dxa"/>
            <w:tcBorders>
              <w:top w:val="nil"/>
              <w:left w:val="nil"/>
              <w:bottom w:val="nil"/>
              <w:right w:val="nil"/>
            </w:tcBorders>
            <w:vAlign w:val="bottom"/>
          </w:tcPr>
          <w:p w14:paraId="678A8A94" w14:textId="77777777" w:rsidR="00921DCA" w:rsidRPr="005B73B6" w:rsidRDefault="00921DCA" w:rsidP="00545189">
            <w:pPr>
              <w:rPr>
                <w:b/>
              </w:rPr>
            </w:pPr>
          </w:p>
        </w:tc>
        <w:tc>
          <w:tcPr>
            <w:tcW w:w="1115" w:type="dxa"/>
            <w:tcBorders>
              <w:top w:val="nil"/>
              <w:left w:val="nil"/>
              <w:bottom w:val="nil"/>
              <w:right w:val="nil"/>
            </w:tcBorders>
            <w:noWrap/>
            <w:tcMar>
              <w:top w:w="15" w:type="dxa"/>
              <w:left w:w="15" w:type="dxa"/>
              <w:bottom w:w="0" w:type="dxa"/>
              <w:right w:w="15" w:type="dxa"/>
            </w:tcMar>
            <w:vAlign w:val="bottom"/>
          </w:tcPr>
          <w:p w14:paraId="48F34733" w14:textId="77777777" w:rsidR="00921DCA" w:rsidRPr="005B73B6" w:rsidRDefault="00921DCA" w:rsidP="00545189"/>
        </w:tc>
      </w:tr>
      <w:tr w:rsidR="00921DCA" w:rsidRPr="005B73B6" w14:paraId="51693CBF" w14:textId="77777777" w:rsidTr="00545189">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5AC20962" w14:textId="77777777" w:rsidR="00921DCA" w:rsidRPr="005B73B6" w:rsidRDefault="00921DCA" w:rsidP="00545189">
            <w:pPr>
              <w:rPr>
                <w:sz w:val="22"/>
                <w:szCs w:val="22"/>
              </w:rPr>
            </w:pPr>
            <w:r w:rsidRPr="005B73B6">
              <w:rPr>
                <w:sz w:val="22"/>
                <w:szCs w:val="22"/>
              </w:rPr>
              <w:t>Other income</w:t>
            </w:r>
          </w:p>
        </w:tc>
        <w:tc>
          <w:tcPr>
            <w:tcW w:w="1188" w:type="dxa"/>
            <w:tcBorders>
              <w:top w:val="nil"/>
              <w:left w:val="nil"/>
              <w:bottom w:val="nil"/>
              <w:right w:val="nil"/>
            </w:tcBorders>
          </w:tcPr>
          <w:p w14:paraId="60EEE3B8" w14:textId="77777777" w:rsidR="00921DCA" w:rsidRPr="005B73B6" w:rsidRDefault="00921DCA" w:rsidP="00545189">
            <w:pPr>
              <w:rPr>
                <w:sz w:val="22"/>
                <w:szCs w:val="22"/>
              </w:rPr>
            </w:pPr>
          </w:p>
        </w:tc>
        <w:tc>
          <w:tcPr>
            <w:tcW w:w="1188" w:type="dxa"/>
            <w:tcBorders>
              <w:top w:val="nil"/>
              <w:left w:val="nil"/>
              <w:bottom w:val="nil"/>
              <w:right w:val="nil"/>
            </w:tcBorders>
          </w:tcPr>
          <w:p w14:paraId="47A2F1FE" w14:textId="77777777" w:rsidR="00921DCA" w:rsidRPr="005B73B6" w:rsidRDefault="00921DCA" w:rsidP="00545189">
            <w:pPr>
              <w:rPr>
                <w:sz w:val="22"/>
                <w:szCs w:val="22"/>
              </w:rPr>
            </w:pPr>
          </w:p>
        </w:tc>
        <w:tc>
          <w:tcPr>
            <w:tcW w:w="1110" w:type="dxa"/>
            <w:tcBorders>
              <w:top w:val="nil"/>
              <w:left w:val="nil"/>
              <w:bottom w:val="nil"/>
              <w:right w:val="nil"/>
            </w:tcBorders>
            <w:vAlign w:val="bottom"/>
          </w:tcPr>
          <w:p w14:paraId="512A898B" w14:textId="77777777" w:rsidR="00921DCA" w:rsidRPr="005B73B6" w:rsidRDefault="00921DCA" w:rsidP="00545189">
            <w:pPr>
              <w:jc w:val="right"/>
              <w:rPr>
                <w:b/>
                <w:sz w:val="22"/>
                <w:szCs w:val="22"/>
              </w:rPr>
            </w:pPr>
            <w:r>
              <w:rPr>
                <w:b/>
                <w:sz w:val="22"/>
                <w:szCs w:val="22"/>
              </w:rPr>
              <w:t>182</w:t>
            </w:r>
          </w:p>
        </w:tc>
        <w:tc>
          <w:tcPr>
            <w:tcW w:w="1115" w:type="dxa"/>
            <w:tcBorders>
              <w:top w:val="nil"/>
              <w:left w:val="nil"/>
              <w:bottom w:val="nil"/>
              <w:right w:val="nil"/>
            </w:tcBorders>
            <w:noWrap/>
            <w:tcMar>
              <w:top w:w="15" w:type="dxa"/>
              <w:left w:w="15" w:type="dxa"/>
              <w:bottom w:w="0" w:type="dxa"/>
              <w:right w:w="15" w:type="dxa"/>
            </w:tcMar>
            <w:vAlign w:val="bottom"/>
          </w:tcPr>
          <w:p w14:paraId="67EB8564" w14:textId="77777777" w:rsidR="00921DCA" w:rsidRPr="005B73B6" w:rsidRDefault="00921DCA" w:rsidP="00545189">
            <w:pPr>
              <w:jc w:val="right"/>
              <w:rPr>
                <w:sz w:val="22"/>
                <w:szCs w:val="22"/>
              </w:rPr>
            </w:pPr>
            <w:r>
              <w:rPr>
                <w:sz w:val="22"/>
                <w:szCs w:val="22"/>
              </w:rPr>
              <w:t>107</w:t>
            </w:r>
          </w:p>
        </w:tc>
      </w:tr>
      <w:tr w:rsidR="00921DCA" w:rsidRPr="005B73B6" w14:paraId="270C703A" w14:textId="77777777" w:rsidTr="00545189">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4D4C490C" w14:textId="77777777" w:rsidR="00921DCA" w:rsidRPr="005B73B6" w:rsidRDefault="00921DCA" w:rsidP="00545189">
            <w:r w:rsidRPr="005B73B6">
              <w:rPr>
                <w:sz w:val="22"/>
                <w:szCs w:val="22"/>
              </w:rPr>
              <w:t>Administrative expenses</w:t>
            </w:r>
          </w:p>
        </w:tc>
        <w:tc>
          <w:tcPr>
            <w:tcW w:w="1188" w:type="dxa"/>
            <w:tcBorders>
              <w:top w:val="nil"/>
              <w:left w:val="nil"/>
              <w:bottom w:val="nil"/>
              <w:right w:val="nil"/>
            </w:tcBorders>
          </w:tcPr>
          <w:p w14:paraId="029B2D27" w14:textId="77777777" w:rsidR="00921DCA" w:rsidRPr="005B73B6" w:rsidRDefault="00921DCA" w:rsidP="00545189">
            <w:pPr>
              <w:rPr>
                <w:sz w:val="22"/>
                <w:szCs w:val="22"/>
              </w:rPr>
            </w:pPr>
          </w:p>
        </w:tc>
        <w:tc>
          <w:tcPr>
            <w:tcW w:w="1188" w:type="dxa"/>
            <w:tcBorders>
              <w:top w:val="nil"/>
              <w:left w:val="nil"/>
              <w:bottom w:val="nil"/>
              <w:right w:val="nil"/>
            </w:tcBorders>
          </w:tcPr>
          <w:p w14:paraId="161FD1D7" w14:textId="77777777" w:rsidR="00921DCA" w:rsidRPr="005B73B6" w:rsidRDefault="00921DCA" w:rsidP="00545189">
            <w:pPr>
              <w:rPr>
                <w:sz w:val="22"/>
                <w:szCs w:val="22"/>
              </w:rPr>
            </w:pPr>
          </w:p>
        </w:tc>
        <w:tc>
          <w:tcPr>
            <w:tcW w:w="1110" w:type="dxa"/>
            <w:tcBorders>
              <w:top w:val="nil"/>
              <w:left w:val="nil"/>
              <w:bottom w:val="nil"/>
              <w:right w:val="nil"/>
            </w:tcBorders>
            <w:vAlign w:val="bottom"/>
          </w:tcPr>
          <w:p w14:paraId="5DC1E013" w14:textId="77777777" w:rsidR="00921DCA" w:rsidRPr="005B73B6" w:rsidRDefault="00921DCA" w:rsidP="00545189">
            <w:pPr>
              <w:jc w:val="right"/>
              <w:rPr>
                <w:b/>
              </w:rPr>
            </w:pPr>
            <w:r w:rsidRPr="005B73B6">
              <w:rPr>
                <w:b/>
                <w:sz w:val="22"/>
                <w:szCs w:val="22"/>
              </w:rPr>
              <w:t>(</w:t>
            </w:r>
            <w:r>
              <w:rPr>
                <w:b/>
                <w:sz w:val="22"/>
                <w:szCs w:val="22"/>
              </w:rPr>
              <w:t>865</w:t>
            </w:r>
            <w:r w:rsidRPr="005B73B6">
              <w:rPr>
                <w:b/>
                <w:sz w:val="22"/>
                <w:szCs w:val="22"/>
              </w:rPr>
              <w:t>)</w:t>
            </w:r>
          </w:p>
        </w:tc>
        <w:tc>
          <w:tcPr>
            <w:tcW w:w="1115" w:type="dxa"/>
            <w:tcBorders>
              <w:top w:val="nil"/>
              <w:left w:val="nil"/>
              <w:bottom w:val="nil"/>
              <w:right w:val="nil"/>
            </w:tcBorders>
            <w:noWrap/>
            <w:tcMar>
              <w:top w:w="15" w:type="dxa"/>
              <w:left w:w="15" w:type="dxa"/>
              <w:bottom w:w="0" w:type="dxa"/>
              <w:right w:w="15" w:type="dxa"/>
            </w:tcMar>
            <w:vAlign w:val="bottom"/>
          </w:tcPr>
          <w:p w14:paraId="71BE27DE" w14:textId="77777777" w:rsidR="00921DCA" w:rsidRPr="005B73B6" w:rsidRDefault="00921DCA" w:rsidP="00545189">
            <w:pPr>
              <w:jc w:val="right"/>
            </w:pPr>
            <w:r w:rsidRPr="005B73B6">
              <w:rPr>
                <w:sz w:val="22"/>
                <w:szCs w:val="22"/>
              </w:rPr>
              <w:t>(8</w:t>
            </w:r>
            <w:r>
              <w:rPr>
                <w:sz w:val="22"/>
                <w:szCs w:val="22"/>
              </w:rPr>
              <w:t>11</w:t>
            </w:r>
            <w:r w:rsidRPr="005B73B6">
              <w:rPr>
                <w:sz w:val="22"/>
                <w:szCs w:val="22"/>
              </w:rPr>
              <w:t>)</w:t>
            </w:r>
          </w:p>
        </w:tc>
      </w:tr>
      <w:tr w:rsidR="00921DCA" w:rsidRPr="005B73B6" w14:paraId="5294D562" w14:textId="77777777" w:rsidTr="00545189">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233A2F39" w14:textId="77777777" w:rsidR="00921DCA" w:rsidRPr="005B73B6" w:rsidRDefault="00921DCA" w:rsidP="00545189">
            <w:pPr>
              <w:rPr>
                <w:b/>
                <w:bCs/>
              </w:rPr>
            </w:pPr>
            <w:r w:rsidRPr="005B73B6">
              <w:rPr>
                <w:b/>
                <w:bCs/>
                <w:sz w:val="22"/>
                <w:szCs w:val="22"/>
              </w:rPr>
              <w:t xml:space="preserve">Operating profit from continuing operations </w:t>
            </w:r>
          </w:p>
        </w:tc>
        <w:tc>
          <w:tcPr>
            <w:tcW w:w="1188" w:type="dxa"/>
            <w:tcBorders>
              <w:left w:val="nil"/>
              <w:right w:val="nil"/>
            </w:tcBorders>
          </w:tcPr>
          <w:p w14:paraId="0A32627F" w14:textId="77777777" w:rsidR="00921DCA" w:rsidRPr="005B73B6" w:rsidRDefault="00921DCA" w:rsidP="00545189">
            <w:pPr>
              <w:rPr>
                <w:sz w:val="22"/>
                <w:szCs w:val="22"/>
              </w:rPr>
            </w:pPr>
          </w:p>
        </w:tc>
        <w:tc>
          <w:tcPr>
            <w:tcW w:w="1188" w:type="dxa"/>
            <w:tcBorders>
              <w:left w:val="nil"/>
              <w:right w:val="nil"/>
            </w:tcBorders>
          </w:tcPr>
          <w:p w14:paraId="49F94BDF" w14:textId="77777777" w:rsidR="00921DCA" w:rsidRPr="005B73B6" w:rsidRDefault="00921DCA" w:rsidP="00545189">
            <w:pPr>
              <w:rPr>
                <w:sz w:val="22"/>
                <w:szCs w:val="22"/>
              </w:rPr>
            </w:pPr>
          </w:p>
        </w:tc>
        <w:tc>
          <w:tcPr>
            <w:tcW w:w="1110" w:type="dxa"/>
            <w:tcBorders>
              <w:top w:val="single" w:sz="4" w:space="0" w:color="auto"/>
              <w:left w:val="nil"/>
              <w:bottom w:val="single" w:sz="4" w:space="0" w:color="auto"/>
              <w:right w:val="nil"/>
            </w:tcBorders>
            <w:vAlign w:val="bottom"/>
          </w:tcPr>
          <w:p w14:paraId="7BE08A84" w14:textId="77777777" w:rsidR="00921DCA" w:rsidRPr="005B73B6" w:rsidRDefault="00921DCA" w:rsidP="00545189">
            <w:pPr>
              <w:jc w:val="right"/>
              <w:rPr>
                <w:b/>
              </w:rPr>
            </w:pPr>
            <w:r w:rsidRPr="005B73B6">
              <w:rPr>
                <w:b/>
                <w:sz w:val="22"/>
                <w:szCs w:val="22"/>
              </w:rPr>
              <w:t>2,</w:t>
            </w:r>
            <w:r>
              <w:rPr>
                <w:b/>
                <w:sz w:val="22"/>
                <w:szCs w:val="22"/>
              </w:rPr>
              <w:t>289</w:t>
            </w:r>
          </w:p>
        </w:tc>
        <w:tc>
          <w:tcPr>
            <w:tcW w:w="1115"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702EE85B" w14:textId="77777777" w:rsidR="00921DCA" w:rsidRPr="005B73B6" w:rsidRDefault="00921DCA" w:rsidP="00545189">
            <w:pPr>
              <w:jc w:val="right"/>
            </w:pPr>
            <w:r w:rsidRPr="005B73B6">
              <w:rPr>
                <w:sz w:val="22"/>
                <w:szCs w:val="22"/>
              </w:rPr>
              <w:t>2,</w:t>
            </w:r>
            <w:r>
              <w:rPr>
                <w:sz w:val="22"/>
                <w:szCs w:val="22"/>
              </w:rPr>
              <w:t>663</w:t>
            </w:r>
          </w:p>
        </w:tc>
      </w:tr>
      <w:tr w:rsidR="00921DCA" w:rsidRPr="005B73B6" w14:paraId="3E0E9E99" w14:textId="77777777" w:rsidTr="00545189">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32CAE0DA" w14:textId="77777777" w:rsidR="00921DCA" w:rsidRPr="005B73B6" w:rsidRDefault="00921DCA" w:rsidP="00545189">
            <w:pPr>
              <w:rPr>
                <w:b/>
                <w:bCs/>
              </w:rPr>
            </w:pPr>
          </w:p>
        </w:tc>
        <w:tc>
          <w:tcPr>
            <w:tcW w:w="1188" w:type="dxa"/>
            <w:tcBorders>
              <w:top w:val="nil"/>
              <w:left w:val="nil"/>
              <w:bottom w:val="nil"/>
              <w:right w:val="nil"/>
            </w:tcBorders>
          </w:tcPr>
          <w:p w14:paraId="2C20D347" w14:textId="77777777" w:rsidR="00921DCA" w:rsidRPr="005B73B6" w:rsidRDefault="00921DCA" w:rsidP="00545189"/>
        </w:tc>
        <w:tc>
          <w:tcPr>
            <w:tcW w:w="1188" w:type="dxa"/>
            <w:tcBorders>
              <w:top w:val="nil"/>
              <w:left w:val="nil"/>
              <w:bottom w:val="nil"/>
              <w:right w:val="nil"/>
            </w:tcBorders>
          </w:tcPr>
          <w:p w14:paraId="02561A98" w14:textId="77777777" w:rsidR="00921DCA" w:rsidRPr="005B73B6" w:rsidRDefault="00921DCA" w:rsidP="00545189"/>
        </w:tc>
        <w:tc>
          <w:tcPr>
            <w:tcW w:w="1110" w:type="dxa"/>
            <w:tcBorders>
              <w:top w:val="nil"/>
              <w:left w:val="nil"/>
              <w:bottom w:val="nil"/>
              <w:right w:val="nil"/>
            </w:tcBorders>
            <w:vAlign w:val="bottom"/>
          </w:tcPr>
          <w:p w14:paraId="3C46FDDB" w14:textId="77777777" w:rsidR="00921DCA" w:rsidRPr="005B73B6" w:rsidRDefault="00921DCA" w:rsidP="00545189">
            <w:pPr>
              <w:rPr>
                <w:b/>
              </w:rPr>
            </w:pPr>
          </w:p>
        </w:tc>
        <w:tc>
          <w:tcPr>
            <w:tcW w:w="1115" w:type="dxa"/>
            <w:tcBorders>
              <w:top w:val="nil"/>
              <w:left w:val="nil"/>
              <w:bottom w:val="nil"/>
              <w:right w:val="nil"/>
            </w:tcBorders>
            <w:noWrap/>
            <w:tcMar>
              <w:top w:w="15" w:type="dxa"/>
              <w:left w:w="15" w:type="dxa"/>
              <w:bottom w:w="0" w:type="dxa"/>
              <w:right w:w="15" w:type="dxa"/>
            </w:tcMar>
            <w:vAlign w:val="bottom"/>
          </w:tcPr>
          <w:p w14:paraId="0A857CBA" w14:textId="77777777" w:rsidR="00921DCA" w:rsidRPr="005B73B6" w:rsidRDefault="00921DCA" w:rsidP="00545189"/>
        </w:tc>
      </w:tr>
      <w:tr w:rsidR="00921DCA" w:rsidRPr="005B73B6" w14:paraId="6B39CF7D" w14:textId="77777777" w:rsidTr="00545189">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51E721CE" w14:textId="77777777" w:rsidR="00921DCA" w:rsidRPr="005B73B6" w:rsidRDefault="00921DCA" w:rsidP="00545189">
            <w:pPr>
              <w:rPr>
                <w:sz w:val="22"/>
                <w:szCs w:val="22"/>
              </w:rPr>
            </w:pPr>
            <w:r w:rsidRPr="005B73B6">
              <w:rPr>
                <w:sz w:val="22"/>
                <w:szCs w:val="22"/>
              </w:rPr>
              <w:t>Finance income – interest receivable</w:t>
            </w:r>
          </w:p>
        </w:tc>
        <w:tc>
          <w:tcPr>
            <w:tcW w:w="1188" w:type="dxa"/>
            <w:tcBorders>
              <w:top w:val="nil"/>
              <w:left w:val="nil"/>
              <w:bottom w:val="nil"/>
              <w:right w:val="nil"/>
            </w:tcBorders>
          </w:tcPr>
          <w:p w14:paraId="2B08CDF4" w14:textId="6A559031" w:rsidR="00921DCA" w:rsidRPr="005B73B6" w:rsidRDefault="00921DCA" w:rsidP="00545189">
            <w:pPr>
              <w:rPr>
                <w:sz w:val="22"/>
                <w:szCs w:val="22"/>
              </w:rPr>
            </w:pPr>
          </w:p>
        </w:tc>
        <w:tc>
          <w:tcPr>
            <w:tcW w:w="1188" w:type="dxa"/>
            <w:tcBorders>
              <w:top w:val="nil"/>
              <w:left w:val="nil"/>
              <w:bottom w:val="nil"/>
              <w:right w:val="nil"/>
            </w:tcBorders>
          </w:tcPr>
          <w:p w14:paraId="0BD1D59F" w14:textId="77777777" w:rsidR="00921DCA" w:rsidRPr="005B73B6" w:rsidRDefault="00921DCA" w:rsidP="00545189">
            <w:pPr>
              <w:rPr>
                <w:sz w:val="22"/>
                <w:szCs w:val="22"/>
              </w:rPr>
            </w:pPr>
          </w:p>
        </w:tc>
        <w:tc>
          <w:tcPr>
            <w:tcW w:w="1110" w:type="dxa"/>
            <w:tcBorders>
              <w:top w:val="nil"/>
              <w:left w:val="nil"/>
              <w:bottom w:val="nil"/>
              <w:right w:val="nil"/>
            </w:tcBorders>
            <w:vAlign w:val="bottom"/>
          </w:tcPr>
          <w:p w14:paraId="0BFCEF49" w14:textId="77777777" w:rsidR="00921DCA" w:rsidRPr="005B73B6" w:rsidRDefault="00921DCA" w:rsidP="00545189">
            <w:pPr>
              <w:jc w:val="right"/>
              <w:rPr>
                <w:b/>
                <w:sz w:val="22"/>
                <w:szCs w:val="22"/>
              </w:rPr>
            </w:pPr>
            <w:r w:rsidRPr="005B73B6">
              <w:rPr>
                <w:b/>
                <w:sz w:val="22"/>
                <w:szCs w:val="22"/>
              </w:rPr>
              <w:t>1</w:t>
            </w:r>
          </w:p>
        </w:tc>
        <w:tc>
          <w:tcPr>
            <w:tcW w:w="1115" w:type="dxa"/>
            <w:tcBorders>
              <w:top w:val="nil"/>
              <w:left w:val="nil"/>
              <w:bottom w:val="nil"/>
              <w:right w:val="nil"/>
            </w:tcBorders>
            <w:noWrap/>
            <w:tcMar>
              <w:top w:w="15" w:type="dxa"/>
              <w:left w:w="15" w:type="dxa"/>
              <w:bottom w:w="0" w:type="dxa"/>
              <w:right w:w="15" w:type="dxa"/>
            </w:tcMar>
            <w:vAlign w:val="bottom"/>
          </w:tcPr>
          <w:p w14:paraId="017471AE" w14:textId="77777777" w:rsidR="00921DCA" w:rsidRPr="005B73B6" w:rsidRDefault="00921DCA" w:rsidP="00545189">
            <w:pPr>
              <w:jc w:val="right"/>
              <w:rPr>
                <w:sz w:val="22"/>
                <w:szCs w:val="22"/>
              </w:rPr>
            </w:pPr>
            <w:r>
              <w:rPr>
                <w:sz w:val="22"/>
                <w:szCs w:val="22"/>
              </w:rPr>
              <w:t>1</w:t>
            </w:r>
          </w:p>
        </w:tc>
      </w:tr>
      <w:tr w:rsidR="00921DCA" w:rsidRPr="005B73B6" w14:paraId="47AC0E64" w14:textId="77777777" w:rsidTr="00545189">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23D9DFDB" w14:textId="77777777" w:rsidR="00921DCA" w:rsidRPr="005B73B6" w:rsidRDefault="00921DCA" w:rsidP="00545189">
            <w:pPr>
              <w:rPr>
                <w:sz w:val="22"/>
                <w:szCs w:val="22"/>
              </w:rPr>
            </w:pPr>
            <w:r>
              <w:rPr>
                <w:sz w:val="22"/>
                <w:szCs w:val="22"/>
              </w:rPr>
              <w:t>Finance expenses – lease interest</w:t>
            </w:r>
          </w:p>
        </w:tc>
        <w:tc>
          <w:tcPr>
            <w:tcW w:w="1188" w:type="dxa"/>
            <w:tcBorders>
              <w:top w:val="nil"/>
              <w:left w:val="nil"/>
              <w:bottom w:val="nil"/>
              <w:right w:val="nil"/>
            </w:tcBorders>
          </w:tcPr>
          <w:p w14:paraId="786D93B8" w14:textId="6F899A70" w:rsidR="00921DCA" w:rsidRPr="005B73B6" w:rsidRDefault="00921DCA" w:rsidP="00545189">
            <w:pPr>
              <w:rPr>
                <w:sz w:val="22"/>
                <w:szCs w:val="22"/>
              </w:rPr>
            </w:pPr>
          </w:p>
        </w:tc>
        <w:tc>
          <w:tcPr>
            <w:tcW w:w="1188" w:type="dxa"/>
            <w:tcBorders>
              <w:top w:val="nil"/>
              <w:left w:val="nil"/>
              <w:bottom w:val="nil"/>
              <w:right w:val="nil"/>
            </w:tcBorders>
          </w:tcPr>
          <w:p w14:paraId="1EC8FEC5" w14:textId="77777777" w:rsidR="00921DCA" w:rsidRPr="005B73B6" w:rsidRDefault="00921DCA" w:rsidP="00545189">
            <w:pPr>
              <w:rPr>
                <w:sz w:val="22"/>
                <w:szCs w:val="22"/>
              </w:rPr>
            </w:pPr>
          </w:p>
        </w:tc>
        <w:tc>
          <w:tcPr>
            <w:tcW w:w="1110" w:type="dxa"/>
            <w:tcBorders>
              <w:top w:val="nil"/>
              <w:left w:val="nil"/>
              <w:bottom w:val="nil"/>
              <w:right w:val="nil"/>
            </w:tcBorders>
            <w:vAlign w:val="bottom"/>
          </w:tcPr>
          <w:p w14:paraId="1FE28809" w14:textId="77777777" w:rsidR="00921DCA" w:rsidRPr="005B73B6" w:rsidRDefault="00921DCA" w:rsidP="00545189">
            <w:pPr>
              <w:jc w:val="right"/>
              <w:rPr>
                <w:b/>
                <w:sz w:val="22"/>
                <w:szCs w:val="22"/>
              </w:rPr>
            </w:pPr>
            <w:r>
              <w:rPr>
                <w:b/>
                <w:sz w:val="22"/>
                <w:szCs w:val="22"/>
              </w:rPr>
              <w:t>(196)</w:t>
            </w:r>
          </w:p>
        </w:tc>
        <w:tc>
          <w:tcPr>
            <w:tcW w:w="1115" w:type="dxa"/>
            <w:tcBorders>
              <w:top w:val="nil"/>
              <w:left w:val="nil"/>
              <w:bottom w:val="nil"/>
              <w:right w:val="nil"/>
            </w:tcBorders>
            <w:noWrap/>
            <w:tcMar>
              <w:top w:w="15" w:type="dxa"/>
              <w:left w:w="15" w:type="dxa"/>
              <w:bottom w:w="0" w:type="dxa"/>
              <w:right w:w="15" w:type="dxa"/>
            </w:tcMar>
            <w:vAlign w:val="bottom"/>
          </w:tcPr>
          <w:p w14:paraId="50898B26" w14:textId="77777777" w:rsidR="00921DCA" w:rsidRPr="005B73B6" w:rsidRDefault="00921DCA" w:rsidP="00545189">
            <w:pPr>
              <w:jc w:val="right"/>
              <w:rPr>
                <w:sz w:val="22"/>
                <w:szCs w:val="22"/>
              </w:rPr>
            </w:pPr>
            <w:r>
              <w:rPr>
                <w:sz w:val="22"/>
                <w:szCs w:val="22"/>
              </w:rPr>
              <w:t>(229)</w:t>
            </w:r>
          </w:p>
        </w:tc>
      </w:tr>
      <w:tr w:rsidR="00921DCA" w:rsidRPr="005B73B6" w14:paraId="020CAA16" w14:textId="77777777" w:rsidTr="00545189">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2EB0E726" w14:textId="77777777" w:rsidR="00921DCA" w:rsidRPr="005B73B6" w:rsidRDefault="00921DCA" w:rsidP="00545189">
            <w:r w:rsidRPr="005B73B6">
              <w:rPr>
                <w:sz w:val="22"/>
                <w:szCs w:val="22"/>
              </w:rPr>
              <w:t>Finance expenses – interest on bank loans</w:t>
            </w:r>
          </w:p>
        </w:tc>
        <w:tc>
          <w:tcPr>
            <w:tcW w:w="1188" w:type="dxa"/>
            <w:tcBorders>
              <w:top w:val="nil"/>
              <w:left w:val="nil"/>
              <w:bottom w:val="nil"/>
              <w:right w:val="nil"/>
            </w:tcBorders>
          </w:tcPr>
          <w:p w14:paraId="53A067F5" w14:textId="0CF6B772" w:rsidR="00921DCA" w:rsidRPr="005B73B6" w:rsidRDefault="00921DCA" w:rsidP="00545189">
            <w:pPr>
              <w:rPr>
                <w:sz w:val="22"/>
                <w:szCs w:val="22"/>
              </w:rPr>
            </w:pPr>
          </w:p>
        </w:tc>
        <w:tc>
          <w:tcPr>
            <w:tcW w:w="1188" w:type="dxa"/>
            <w:tcBorders>
              <w:top w:val="nil"/>
              <w:left w:val="nil"/>
              <w:bottom w:val="nil"/>
              <w:right w:val="nil"/>
            </w:tcBorders>
          </w:tcPr>
          <w:p w14:paraId="4BC102F6" w14:textId="77777777" w:rsidR="00921DCA" w:rsidRPr="005B73B6" w:rsidRDefault="00921DCA" w:rsidP="00545189">
            <w:pPr>
              <w:rPr>
                <w:sz w:val="22"/>
                <w:szCs w:val="22"/>
              </w:rPr>
            </w:pPr>
          </w:p>
        </w:tc>
        <w:tc>
          <w:tcPr>
            <w:tcW w:w="1110" w:type="dxa"/>
            <w:tcBorders>
              <w:top w:val="nil"/>
              <w:left w:val="nil"/>
              <w:bottom w:val="nil"/>
              <w:right w:val="nil"/>
            </w:tcBorders>
            <w:vAlign w:val="bottom"/>
          </w:tcPr>
          <w:p w14:paraId="469B72DB" w14:textId="77777777" w:rsidR="00921DCA" w:rsidRPr="005B73B6" w:rsidRDefault="00921DCA" w:rsidP="00545189">
            <w:pPr>
              <w:jc w:val="right"/>
              <w:rPr>
                <w:b/>
              </w:rPr>
            </w:pPr>
            <w:r w:rsidRPr="005B73B6">
              <w:rPr>
                <w:b/>
                <w:sz w:val="22"/>
                <w:szCs w:val="22"/>
              </w:rPr>
              <w:t>(</w:t>
            </w:r>
            <w:r>
              <w:rPr>
                <w:b/>
                <w:sz w:val="22"/>
                <w:szCs w:val="22"/>
              </w:rPr>
              <w:t>117</w:t>
            </w:r>
            <w:r w:rsidRPr="005B73B6">
              <w:rPr>
                <w:b/>
                <w:sz w:val="22"/>
                <w:szCs w:val="22"/>
              </w:rPr>
              <w:t>)</w:t>
            </w:r>
          </w:p>
        </w:tc>
        <w:tc>
          <w:tcPr>
            <w:tcW w:w="1115" w:type="dxa"/>
            <w:tcBorders>
              <w:top w:val="nil"/>
              <w:left w:val="nil"/>
              <w:bottom w:val="nil"/>
              <w:right w:val="nil"/>
            </w:tcBorders>
            <w:noWrap/>
            <w:tcMar>
              <w:top w:w="15" w:type="dxa"/>
              <w:left w:w="15" w:type="dxa"/>
              <w:bottom w:w="0" w:type="dxa"/>
              <w:right w:w="15" w:type="dxa"/>
            </w:tcMar>
            <w:vAlign w:val="bottom"/>
          </w:tcPr>
          <w:p w14:paraId="54920D14" w14:textId="77777777" w:rsidR="00921DCA" w:rsidRPr="005B73B6" w:rsidRDefault="00921DCA" w:rsidP="00545189">
            <w:pPr>
              <w:jc w:val="right"/>
            </w:pPr>
            <w:r w:rsidRPr="005B73B6">
              <w:rPr>
                <w:sz w:val="22"/>
                <w:szCs w:val="22"/>
              </w:rPr>
              <w:t>(1</w:t>
            </w:r>
            <w:r>
              <w:rPr>
                <w:sz w:val="22"/>
                <w:szCs w:val="22"/>
              </w:rPr>
              <w:t>20</w:t>
            </w:r>
            <w:r w:rsidRPr="005B73B6">
              <w:rPr>
                <w:sz w:val="22"/>
                <w:szCs w:val="22"/>
              </w:rPr>
              <w:t>)</w:t>
            </w:r>
          </w:p>
        </w:tc>
      </w:tr>
      <w:tr w:rsidR="00921DCA" w:rsidRPr="005B73B6" w14:paraId="503EB38E" w14:textId="77777777" w:rsidTr="00545189">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3AE5BE19" w14:textId="77777777" w:rsidR="00921DCA" w:rsidRPr="005B73B6" w:rsidRDefault="00921DCA" w:rsidP="00545189"/>
        </w:tc>
        <w:tc>
          <w:tcPr>
            <w:tcW w:w="1188" w:type="dxa"/>
            <w:tcBorders>
              <w:top w:val="nil"/>
              <w:left w:val="nil"/>
              <w:bottom w:val="nil"/>
              <w:right w:val="nil"/>
            </w:tcBorders>
          </w:tcPr>
          <w:p w14:paraId="1ABA9017" w14:textId="77777777" w:rsidR="00921DCA" w:rsidRPr="005B73B6" w:rsidRDefault="00921DCA" w:rsidP="00545189"/>
        </w:tc>
        <w:tc>
          <w:tcPr>
            <w:tcW w:w="1188" w:type="dxa"/>
            <w:tcBorders>
              <w:top w:val="nil"/>
              <w:left w:val="nil"/>
              <w:bottom w:val="nil"/>
              <w:right w:val="nil"/>
            </w:tcBorders>
          </w:tcPr>
          <w:p w14:paraId="02368605" w14:textId="77777777" w:rsidR="00921DCA" w:rsidRPr="005B73B6" w:rsidRDefault="00921DCA" w:rsidP="00545189"/>
        </w:tc>
        <w:tc>
          <w:tcPr>
            <w:tcW w:w="1110" w:type="dxa"/>
            <w:tcBorders>
              <w:top w:val="nil"/>
              <w:left w:val="nil"/>
              <w:bottom w:val="nil"/>
              <w:right w:val="nil"/>
            </w:tcBorders>
            <w:vAlign w:val="bottom"/>
          </w:tcPr>
          <w:p w14:paraId="00C0221F" w14:textId="77777777" w:rsidR="00921DCA" w:rsidRPr="005B73B6" w:rsidRDefault="00921DCA" w:rsidP="00545189">
            <w:pPr>
              <w:rPr>
                <w:b/>
              </w:rPr>
            </w:pPr>
          </w:p>
        </w:tc>
        <w:tc>
          <w:tcPr>
            <w:tcW w:w="1115" w:type="dxa"/>
            <w:tcBorders>
              <w:top w:val="nil"/>
              <w:left w:val="nil"/>
              <w:bottom w:val="nil"/>
              <w:right w:val="nil"/>
            </w:tcBorders>
            <w:noWrap/>
            <w:tcMar>
              <w:top w:w="15" w:type="dxa"/>
              <w:left w:w="15" w:type="dxa"/>
              <w:bottom w:w="0" w:type="dxa"/>
              <w:right w:w="15" w:type="dxa"/>
            </w:tcMar>
            <w:vAlign w:val="bottom"/>
          </w:tcPr>
          <w:p w14:paraId="65E9AA7F" w14:textId="77777777" w:rsidR="00921DCA" w:rsidRPr="005B73B6" w:rsidRDefault="00921DCA" w:rsidP="00545189"/>
        </w:tc>
      </w:tr>
      <w:tr w:rsidR="00921DCA" w:rsidRPr="005B73B6" w14:paraId="6687D68B" w14:textId="77777777" w:rsidTr="00545189">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107B2B20" w14:textId="77777777" w:rsidR="00921DCA" w:rsidRPr="005B73B6" w:rsidRDefault="00921DCA" w:rsidP="00545189">
            <w:pPr>
              <w:rPr>
                <w:b/>
                <w:bCs/>
              </w:rPr>
            </w:pPr>
            <w:r w:rsidRPr="005B73B6">
              <w:rPr>
                <w:b/>
                <w:bCs/>
                <w:sz w:val="22"/>
                <w:szCs w:val="22"/>
              </w:rPr>
              <w:t>Profit on continuing activities before taxation</w:t>
            </w:r>
          </w:p>
        </w:tc>
        <w:tc>
          <w:tcPr>
            <w:tcW w:w="1188" w:type="dxa"/>
            <w:tcBorders>
              <w:left w:val="nil"/>
              <w:right w:val="nil"/>
            </w:tcBorders>
          </w:tcPr>
          <w:p w14:paraId="60322A9D" w14:textId="6FE85485" w:rsidR="00921DCA" w:rsidRPr="005B73B6" w:rsidRDefault="00921DCA" w:rsidP="00545189">
            <w:pPr>
              <w:rPr>
                <w:sz w:val="22"/>
                <w:szCs w:val="22"/>
              </w:rPr>
            </w:pPr>
          </w:p>
        </w:tc>
        <w:tc>
          <w:tcPr>
            <w:tcW w:w="1188" w:type="dxa"/>
            <w:tcBorders>
              <w:left w:val="nil"/>
              <w:right w:val="nil"/>
            </w:tcBorders>
          </w:tcPr>
          <w:p w14:paraId="7F99A784" w14:textId="77777777" w:rsidR="00921DCA" w:rsidRPr="005B73B6" w:rsidRDefault="00921DCA" w:rsidP="00545189">
            <w:pPr>
              <w:rPr>
                <w:sz w:val="22"/>
                <w:szCs w:val="22"/>
              </w:rPr>
            </w:pPr>
          </w:p>
        </w:tc>
        <w:tc>
          <w:tcPr>
            <w:tcW w:w="1110" w:type="dxa"/>
            <w:tcBorders>
              <w:top w:val="single" w:sz="4" w:space="0" w:color="auto"/>
              <w:left w:val="nil"/>
              <w:bottom w:val="single" w:sz="4" w:space="0" w:color="auto"/>
              <w:right w:val="nil"/>
            </w:tcBorders>
            <w:vAlign w:val="bottom"/>
          </w:tcPr>
          <w:p w14:paraId="44BC7507" w14:textId="77777777" w:rsidR="00921DCA" w:rsidRPr="005B73B6" w:rsidRDefault="00921DCA" w:rsidP="00545189">
            <w:pPr>
              <w:jc w:val="right"/>
              <w:rPr>
                <w:b/>
              </w:rPr>
            </w:pPr>
            <w:r>
              <w:rPr>
                <w:b/>
                <w:sz w:val="22"/>
                <w:szCs w:val="22"/>
              </w:rPr>
              <w:t>1,977</w:t>
            </w:r>
          </w:p>
        </w:tc>
        <w:tc>
          <w:tcPr>
            <w:tcW w:w="1115"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0CE273F9" w14:textId="77777777" w:rsidR="00921DCA" w:rsidRPr="005B73B6" w:rsidRDefault="00921DCA" w:rsidP="00545189">
            <w:pPr>
              <w:jc w:val="right"/>
            </w:pPr>
            <w:r w:rsidRPr="005B73B6">
              <w:rPr>
                <w:sz w:val="22"/>
                <w:szCs w:val="22"/>
              </w:rPr>
              <w:t>2,</w:t>
            </w:r>
            <w:r>
              <w:rPr>
                <w:sz w:val="22"/>
                <w:szCs w:val="22"/>
              </w:rPr>
              <w:t>315</w:t>
            </w:r>
          </w:p>
        </w:tc>
      </w:tr>
      <w:tr w:rsidR="00921DCA" w:rsidRPr="005B73B6" w14:paraId="59F9CB6A" w14:textId="77777777" w:rsidTr="00545189">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043E9074" w14:textId="77777777" w:rsidR="00921DCA" w:rsidRPr="005B73B6" w:rsidRDefault="00921DCA" w:rsidP="00545189"/>
        </w:tc>
        <w:tc>
          <w:tcPr>
            <w:tcW w:w="1188" w:type="dxa"/>
            <w:tcBorders>
              <w:top w:val="nil"/>
              <w:left w:val="nil"/>
              <w:bottom w:val="nil"/>
              <w:right w:val="nil"/>
            </w:tcBorders>
          </w:tcPr>
          <w:p w14:paraId="6F387294" w14:textId="77777777" w:rsidR="00921DCA" w:rsidRPr="005B73B6" w:rsidRDefault="00921DCA" w:rsidP="00545189"/>
        </w:tc>
        <w:tc>
          <w:tcPr>
            <w:tcW w:w="1188" w:type="dxa"/>
            <w:tcBorders>
              <w:top w:val="nil"/>
              <w:left w:val="nil"/>
              <w:bottom w:val="nil"/>
              <w:right w:val="nil"/>
            </w:tcBorders>
          </w:tcPr>
          <w:p w14:paraId="639079B2" w14:textId="77777777" w:rsidR="00921DCA" w:rsidRPr="005B73B6" w:rsidRDefault="00921DCA" w:rsidP="00545189"/>
        </w:tc>
        <w:tc>
          <w:tcPr>
            <w:tcW w:w="1110" w:type="dxa"/>
            <w:tcBorders>
              <w:top w:val="nil"/>
              <w:left w:val="nil"/>
              <w:bottom w:val="nil"/>
              <w:right w:val="nil"/>
            </w:tcBorders>
            <w:vAlign w:val="bottom"/>
          </w:tcPr>
          <w:p w14:paraId="38998B17" w14:textId="77777777" w:rsidR="00921DCA" w:rsidRPr="005B73B6" w:rsidRDefault="00921DCA" w:rsidP="00545189">
            <w:pPr>
              <w:rPr>
                <w:b/>
              </w:rPr>
            </w:pPr>
          </w:p>
        </w:tc>
        <w:tc>
          <w:tcPr>
            <w:tcW w:w="1115" w:type="dxa"/>
            <w:tcBorders>
              <w:top w:val="nil"/>
              <w:left w:val="nil"/>
              <w:bottom w:val="nil"/>
              <w:right w:val="nil"/>
            </w:tcBorders>
            <w:noWrap/>
            <w:tcMar>
              <w:top w:w="15" w:type="dxa"/>
              <w:left w:w="15" w:type="dxa"/>
              <w:bottom w:w="0" w:type="dxa"/>
              <w:right w:w="15" w:type="dxa"/>
            </w:tcMar>
            <w:vAlign w:val="bottom"/>
          </w:tcPr>
          <w:p w14:paraId="7579BAA2" w14:textId="77777777" w:rsidR="00921DCA" w:rsidRPr="005B73B6" w:rsidRDefault="00921DCA" w:rsidP="00545189"/>
        </w:tc>
      </w:tr>
      <w:tr w:rsidR="00921DCA" w:rsidRPr="005B73B6" w14:paraId="29860127" w14:textId="77777777" w:rsidTr="00545189">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5EFD975E" w14:textId="77777777" w:rsidR="00921DCA" w:rsidRPr="005B73B6" w:rsidRDefault="00921DCA" w:rsidP="00545189">
            <w:r w:rsidRPr="005B73B6">
              <w:rPr>
                <w:sz w:val="22"/>
                <w:szCs w:val="22"/>
              </w:rPr>
              <w:t xml:space="preserve">Income taxes – Corporation tax </w:t>
            </w:r>
          </w:p>
        </w:tc>
        <w:tc>
          <w:tcPr>
            <w:tcW w:w="1188" w:type="dxa"/>
            <w:tcBorders>
              <w:top w:val="nil"/>
              <w:left w:val="nil"/>
              <w:bottom w:val="nil"/>
              <w:right w:val="nil"/>
            </w:tcBorders>
          </w:tcPr>
          <w:p w14:paraId="41A4E6A3" w14:textId="3EFF76CA" w:rsidR="00921DCA" w:rsidRPr="005B73B6" w:rsidRDefault="00921DCA" w:rsidP="00545189">
            <w:pPr>
              <w:rPr>
                <w:sz w:val="22"/>
                <w:szCs w:val="22"/>
              </w:rPr>
            </w:pPr>
          </w:p>
        </w:tc>
        <w:tc>
          <w:tcPr>
            <w:tcW w:w="1188" w:type="dxa"/>
            <w:tcBorders>
              <w:top w:val="nil"/>
              <w:left w:val="nil"/>
              <w:bottom w:val="nil"/>
              <w:right w:val="nil"/>
            </w:tcBorders>
          </w:tcPr>
          <w:p w14:paraId="6E30CDDC" w14:textId="77777777" w:rsidR="00921DCA" w:rsidRPr="005B73B6" w:rsidRDefault="00921DCA" w:rsidP="00545189">
            <w:pPr>
              <w:rPr>
                <w:sz w:val="22"/>
                <w:szCs w:val="22"/>
              </w:rPr>
            </w:pPr>
          </w:p>
        </w:tc>
        <w:tc>
          <w:tcPr>
            <w:tcW w:w="1110" w:type="dxa"/>
            <w:tcBorders>
              <w:top w:val="nil"/>
              <w:left w:val="nil"/>
              <w:bottom w:val="nil"/>
              <w:right w:val="nil"/>
            </w:tcBorders>
            <w:vAlign w:val="bottom"/>
          </w:tcPr>
          <w:p w14:paraId="6156582C" w14:textId="77777777" w:rsidR="00921DCA" w:rsidRPr="005B73B6" w:rsidRDefault="00921DCA" w:rsidP="00545189">
            <w:pPr>
              <w:jc w:val="right"/>
              <w:rPr>
                <w:b/>
              </w:rPr>
            </w:pPr>
            <w:r w:rsidRPr="005B73B6">
              <w:rPr>
                <w:b/>
                <w:sz w:val="22"/>
                <w:szCs w:val="22"/>
              </w:rPr>
              <w:t>(2</w:t>
            </w:r>
            <w:r>
              <w:rPr>
                <w:b/>
                <w:sz w:val="22"/>
                <w:szCs w:val="22"/>
              </w:rPr>
              <w:t>24</w:t>
            </w:r>
            <w:r w:rsidRPr="005B73B6">
              <w:rPr>
                <w:b/>
                <w:sz w:val="22"/>
                <w:szCs w:val="22"/>
              </w:rPr>
              <w:t>)</w:t>
            </w:r>
          </w:p>
        </w:tc>
        <w:tc>
          <w:tcPr>
            <w:tcW w:w="1115" w:type="dxa"/>
            <w:tcBorders>
              <w:top w:val="nil"/>
              <w:left w:val="nil"/>
              <w:bottom w:val="nil"/>
              <w:right w:val="nil"/>
            </w:tcBorders>
            <w:noWrap/>
            <w:tcMar>
              <w:top w:w="15" w:type="dxa"/>
              <w:left w:w="15" w:type="dxa"/>
              <w:bottom w:w="0" w:type="dxa"/>
              <w:right w:w="15" w:type="dxa"/>
            </w:tcMar>
            <w:vAlign w:val="bottom"/>
          </w:tcPr>
          <w:p w14:paraId="48817583" w14:textId="77777777" w:rsidR="00921DCA" w:rsidRPr="005B73B6" w:rsidRDefault="00921DCA" w:rsidP="00545189">
            <w:pPr>
              <w:jc w:val="right"/>
            </w:pPr>
            <w:r w:rsidRPr="005B73B6">
              <w:rPr>
                <w:sz w:val="22"/>
                <w:szCs w:val="22"/>
              </w:rPr>
              <w:t>(</w:t>
            </w:r>
            <w:r>
              <w:rPr>
                <w:sz w:val="22"/>
                <w:szCs w:val="22"/>
              </w:rPr>
              <w:t>247</w:t>
            </w:r>
            <w:r w:rsidRPr="005B73B6">
              <w:rPr>
                <w:sz w:val="22"/>
                <w:szCs w:val="22"/>
              </w:rPr>
              <w:t>)</w:t>
            </w:r>
          </w:p>
        </w:tc>
      </w:tr>
      <w:tr w:rsidR="00921DCA" w:rsidRPr="005B73B6" w14:paraId="1C89C29D" w14:textId="77777777" w:rsidTr="00545189">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14E6F17D" w14:textId="77777777" w:rsidR="00921DCA" w:rsidRPr="005B73B6" w:rsidRDefault="00921DCA" w:rsidP="00545189">
            <w:r w:rsidRPr="005B73B6">
              <w:rPr>
                <w:sz w:val="22"/>
                <w:szCs w:val="22"/>
              </w:rPr>
              <w:t>Income taxes – Deferred tax</w:t>
            </w:r>
          </w:p>
        </w:tc>
        <w:tc>
          <w:tcPr>
            <w:tcW w:w="1188" w:type="dxa"/>
            <w:tcBorders>
              <w:top w:val="nil"/>
              <w:left w:val="nil"/>
              <w:bottom w:val="nil"/>
              <w:right w:val="nil"/>
            </w:tcBorders>
          </w:tcPr>
          <w:p w14:paraId="7ACB0459" w14:textId="697D029D" w:rsidR="00921DCA" w:rsidRPr="005B73B6" w:rsidRDefault="00921DCA" w:rsidP="00545189">
            <w:pPr>
              <w:rPr>
                <w:sz w:val="22"/>
                <w:szCs w:val="22"/>
              </w:rPr>
            </w:pPr>
          </w:p>
        </w:tc>
        <w:tc>
          <w:tcPr>
            <w:tcW w:w="1188" w:type="dxa"/>
            <w:tcBorders>
              <w:top w:val="nil"/>
              <w:left w:val="nil"/>
              <w:bottom w:val="nil"/>
              <w:right w:val="nil"/>
            </w:tcBorders>
          </w:tcPr>
          <w:p w14:paraId="5972D686" w14:textId="77777777" w:rsidR="00921DCA" w:rsidRPr="005B73B6" w:rsidRDefault="00921DCA" w:rsidP="00545189">
            <w:pPr>
              <w:rPr>
                <w:sz w:val="22"/>
                <w:szCs w:val="22"/>
              </w:rPr>
            </w:pPr>
          </w:p>
        </w:tc>
        <w:tc>
          <w:tcPr>
            <w:tcW w:w="1110" w:type="dxa"/>
            <w:tcBorders>
              <w:top w:val="nil"/>
              <w:left w:val="nil"/>
              <w:bottom w:val="nil"/>
              <w:right w:val="nil"/>
            </w:tcBorders>
            <w:vAlign w:val="bottom"/>
          </w:tcPr>
          <w:p w14:paraId="259CA6D3" w14:textId="77777777" w:rsidR="00921DCA" w:rsidRPr="005B73B6" w:rsidRDefault="00921DCA" w:rsidP="00545189">
            <w:pPr>
              <w:jc w:val="right"/>
              <w:rPr>
                <w:b/>
              </w:rPr>
            </w:pPr>
            <w:r w:rsidRPr="005B73B6">
              <w:rPr>
                <w:b/>
                <w:sz w:val="22"/>
                <w:szCs w:val="22"/>
              </w:rPr>
              <w:t>(</w:t>
            </w:r>
            <w:r>
              <w:rPr>
                <w:b/>
                <w:sz w:val="22"/>
                <w:szCs w:val="22"/>
              </w:rPr>
              <w:t>245</w:t>
            </w:r>
            <w:r w:rsidRPr="005B73B6">
              <w:rPr>
                <w:b/>
                <w:sz w:val="22"/>
                <w:szCs w:val="22"/>
              </w:rPr>
              <w:t>)</w:t>
            </w:r>
          </w:p>
        </w:tc>
        <w:tc>
          <w:tcPr>
            <w:tcW w:w="1115" w:type="dxa"/>
            <w:tcBorders>
              <w:top w:val="nil"/>
              <w:left w:val="nil"/>
              <w:bottom w:val="nil"/>
              <w:right w:val="nil"/>
            </w:tcBorders>
            <w:noWrap/>
            <w:tcMar>
              <w:top w:w="15" w:type="dxa"/>
              <w:left w:w="15" w:type="dxa"/>
              <w:bottom w:w="0" w:type="dxa"/>
              <w:right w:w="15" w:type="dxa"/>
            </w:tcMar>
            <w:vAlign w:val="bottom"/>
          </w:tcPr>
          <w:p w14:paraId="05B8C5D2" w14:textId="77777777" w:rsidR="00921DCA" w:rsidRPr="005B73B6" w:rsidRDefault="00921DCA" w:rsidP="00545189">
            <w:pPr>
              <w:jc w:val="right"/>
            </w:pPr>
            <w:r w:rsidRPr="005B73B6">
              <w:rPr>
                <w:sz w:val="22"/>
                <w:szCs w:val="22"/>
              </w:rPr>
              <w:t>(</w:t>
            </w:r>
            <w:r>
              <w:rPr>
                <w:sz w:val="22"/>
                <w:szCs w:val="22"/>
              </w:rPr>
              <w:t>1</w:t>
            </w:r>
            <w:r w:rsidRPr="005B73B6">
              <w:rPr>
                <w:sz w:val="22"/>
                <w:szCs w:val="22"/>
              </w:rPr>
              <w:t>6</w:t>
            </w:r>
            <w:r>
              <w:rPr>
                <w:sz w:val="22"/>
                <w:szCs w:val="22"/>
              </w:rPr>
              <w:t>5</w:t>
            </w:r>
            <w:r w:rsidRPr="005B73B6">
              <w:rPr>
                <w:sz w:val="22"/>
                <w:szCs w:val="22"/>
              </w:rPr>
              <w:t>)</w:t>
            </w:r>
          </w:p>
        </w:tc>
      </w:tr>
      <w:tr w:rsidR="00921DCA" w:rsidRPr="005B73B6" w14:paraId="241893A3" w14:textId="77777777" w:rsidTr="00545189">
        <w:tblPrEx>
          <w:tblCellMar>
            <w:left w:w="108" w:type="dxa"/>
            <w:right w:w="108" w:type="dxa"/>
          </w:tblCellMar>
        </w:tblPrEx>
        <w:trPr>
          <w:trHeight w:val="255"/>
        </w:trPr>
        <w:tc>
          <w:tcPr>
            <w:tcW w:w="4977" w:type="dxa"/>
            <w:noWrap/>
          </w:tcPr>
          <w:p w14:paraId="6BFBB2C9" w14:textId="77777777" w:rsidR="00921DCA" w:rsidRPr="005B73B6" w:rsidRDefault="00921DCA" w:rsidP="00545189"/>
        </w:tc>
        <w:tc>
          <w:tcPr>
            <w:tcW w:w="1188" w:type="dxa"/>
          </w:tcPr>
          <w:p w14:paraId="3206BA3D" w14:textId="77777777" w:rsidR="00921DCA" w:rsidRPr="005B73B6" w:rsidRDefault="00921DCA" w:rsidP="00545189"/>
        </w:tc>
        <w:tc>
          <w:tcPr>
            <w:tcW w:w="1188" w:type="dxa"/>
          </w:tcPr>
          <w:p w14:paraId="47237B52" w14:textId="77777777" w:rsidR="00921DCA" w:rsidRPr="005B73B6" w:rsidRDefault="00921DCA" w:rsidP="00545189"/>
        </w:tc>
        <w:tc>
          <w:tcPr>
            <w:tcW w:w="1110" w:type="dxa"/>
            <w:tcBorders>
              <w:bottom w:val="single" w:sz="4" w:space="0" w:color="auto"/>
            </w:tcBorders>
          </w:tcPr>
          <w:p w14:paraId="373EC55E" w14:textId="77777777" w:rsidR="00921DCA" w:rsidRPr="005B73B6" w:rsidRDefault="00921DCA" w:rsidP="00545189">
            <w:pPr>
              <w:rPr>
                <w:b/>
              </w:rPr>
            </w:pPr>
          </w:p>
        </w:tc>
        <w:tc>
          <w:tcPr>
            <w:tcW w:w="1115" w:type="dxa"/>
            <w:tcBorders>
              <w:bottom w:val="single" w:sz="4" w:space="0" w:color="auto"/>
            </w:tcBorders>
            <w:noWrap/>
          </w:tcPr>
          <w:p w14:paraId="7E26730C" w14:textId="77777777" w:rsidR="00921DCA" w:rsidRPr="005B73B6" w:rsidRDefault="00921DCA" w:rsidP="00545189"/>
        </w:tc>
      </w:tr>
      <w:tr w:rsidR="00921DCA" w:rsidRPr="005B73B6" w14:paraId="0F033177" w14:textId="77777777" w:rsidTr="00545189">
        <w:tblPrEx>
          <w:tblCellMar>
            <w:left w:w="108" w:type="dxa"/>
            <w:right w:w="108" w:type="dxa"/>
          </w:tblCellMar>
        </w:tblPrEx>
        <w:trPr>
          <w:trHeight w:val="270"/>
        </w:trPr>
        <w:tc>
          <w:tcPr>
            <w:tcW w:w="4977" w:type="dxa"/>
            <w:noWrap/>
          </w:tcPr>
          <w:p w14:paraId="5DE4ACDA" w14:textId="77777777" w:rsidR="00921DCA" w:rsidRPr="005B73B6" w:rsidRDefault="00921DCA" w:rsidP="00545189">
            <w:pPr>
              <w:rPr>
                <w:b/>
                <w:bCs/>
              </w:rPr>
            </w:pPr>
            <w:r w:rsidRPr="005B73B6">
              <w:rPr>
                <w:b/>
                <w:bCs/>
                <w:sz w:val="22"/>
                <w:szCs w:val="22"/>
              </w:rPr>
              <w:t>Profit for the financial year from continuing operations</w:t>
            </w:r>
          </w:p>
        </w:tc>
        <w:tc>
          <w:tcPr>
            <w:tcW w:w="1188" w:type="dxa"/>
          </w:tcPr>
          <w:p w14:paraId="28C822D4" w14:textId="77777777" w:rsidR="00921DCA" w:rsidRPr="005B73B6" w:rsidRDefault="00921DCA" w:rsidP="00545189">
            <w:pPr>
              <w:rPr>
                <w:sz w:val="22"/>
                <w:szCs w:val="22"/>
              </w:rPr>
            </w:pPr>
          </w:p>
        </w:tc>
        <w:tc>
          <w:tcPr>
            <w:tcW w:w="1188" w:type="dxa"/>
          </w:tcPr>
          <w:p w14:paraId="20ECED9E" w14:textId="77777777" w:rsidR="00921DCA" w:rsidRPr="005B73B6" w:rsidRDefault="00921DCA" w:rsidP="00545189">
            <w:pPr>
              <w:rPr>
                <w:sz w:val="22"/>
                <w:szCs w:val="22"/>
              </w:rPr>
            </w:pPr>
          </w:p>
        </w:tc>
        <w:tc>
          <w:tcPr>
            <w:tcW w:w="1110" w:type="dxa"/>
          </w:tcPr>
          <w:p w14:paraId="3C648EA1" w14:textId="77777777" w:rsidR="00921DCA" w:rsidRPr="005B73B6" w:rsidRDefault="00921DCA" w:rsidP="00545189">
            <w:pPr>
              <w:jc w:val="right"/>
              <w:rPr>
                <w:b/>
                <w:sz w:val="22"/>
                <w:szCs w:val="22"/>
              </w:rPr>
            </w:pPr>
            <w:r w:rsidRPr="005B73B6">
              <w:rPr>
                <w:b/>
                <w:sz w:val="22"/>
                <w:szCs w:val="22"/>
              </w:rPr>
              <w:t>1,</w:t>
            </w:r>
            <w:r>
              <w:rPr>
                <w:b/>
                <w:sz w:val="22"/>
                <w:szCs w:val="22"/>
              </w:rPr>
              <w:t>508</w:t>
            </w:r>
          </w:p>
        </w:tc>
        <w:tc>
          <w:tcPr>
            <w:tcW w:w="1115" w:type="dxa"/>
            <w:noWrap/>
          </w:tcPr>
          <w:p w14:paraId="78C09438" w14:textId="77777777" w:rsidR="00921DCA" w:rsidRPr="005B73B6" w:rsidRDefault="00921DCA" w:rsidP="00545189">
            <w:pPr>
              <w:jc w:val="right"/>
            </w:pPr>
            <w:r w:rsidRPr="005B73B6">
              <w:rPr>
                <w:sz w:val="22"/>
                <w:szCs w:val="22"/>
              </w:rPr>
              <w:t>1,</w:t>
            </w:r>
            <w:r>
              <w:rPr>
                <w:sz w:val="22"/>
                <w:szCs w:val="22"/>
              </w:rPr>
              <w:t>903</w:t>
            </w:r>
          </w:p>
        </w:tc>
      </w:tr>
      <w:tr w:rsidR="00921DCA" w:rsidRPr="005B73B6" w14:paraId="1C41961D" w14:textId="77777777" w:rsidTr="00545189">
        <w:tblPrEx>
          <w:tblCellMar>
            <w:left w:w="108" w:type="dxa"/>
            <w:right w:w="108" w:type="dxa"/>
          </w:tblCellMar>
        </w:tblPrEx>
        <w:trPr>
          <w:trHeight w:val="270"/>
        </w:trPr>
        <w:tc>
          <w:tcPr>
            <w:tcW w:w="4977" w:type="dxa"/>
            <w:noWrap/>
          </w:tcPr>
          <w:p w14:paraId="088D654C" w14:textId="77777777" w:rsidR="00921DCA" w:rsidRPr="005B73B6" w:rsidRDefault="00921DCA" w:rsidP="00545189">
            <w:pPr>
              <w:rPr>
                <w:b/>
                <w:bCs/>
                <w:sz w:val="22"/>
                <w:szCs w:val="22"/>
              </w:rPr>
            </w:pPr>
          </w:p>
        </w:tc>
        <w:tc>
          <w:tcPr>
            <w:tcW w:w="1188" w:type="dxa"/>
          </w:tcPr>
          <w:p w14:paraId="3373B787" w14:textId="77777777" w:rsidR="00921DCA" w:rsidRPr="005B73B6" w:rsidRDefault="00921DCA" w:rsidP="00545189">
            <w:pPr>
              <w:rPr>
                <w:sz w:val="22"/>
                <w:szCs w:val="22"/>
              </w:rPr>
            </w:pPr>
          </w:p>
        </w:tc>
        <w:tc>
          <w:tcPr>
            <w:tcW w:w="1188" w:type="dxa"/>
          </w:tcPr>
          <w:p w14:paraId="7954823E" w14:textId="77777777" w:rsidR="00921DCA" w:rsidRPr="005B73B6" w:rsidRDefault="00921DCA" w:rsidP="00545189">
            <w:pPr>
              <w:rPr>
                <w:sz w:val="22"/>
                <w:szCs w:val="22"/>
              </w:rPr>
            </w:pPr>
          </w:p>
        </w:tc>
        <w:tc>
          <w:tcPr>
            <w:tcW w:w="1110" w:type="dxa"/>
          </w:tcPr>
          <w:p w14:paraId="3A157A50" w14:textId="77777777" w:rsidR="00921DCA" w:rsidRPr="005B73B6" w:rsidRDefault="00921DCA" w:rsidP="00545189">
            <w:pPr>
              <w:jc w:val="right"/>
              <w:rPr>
                <w:b/>
                <w:sz w:val="22"/>
                <w:szCs w:val="22"/>
              </w:rPr>
            </w:pPr>
          </w:p>
        </w:tc>
        <w:tc>
          <w:tcPr>
            <w:tcW w:w="1115" w:type="dxa"/>
            <w:noWrap/>
          </w:tcPr>
          <w:p w14:paraId="65021737" w14:textId="77777777" w:rsidR="00921DCA" w:rsidRPr="005B73B6" w:rsidRDefault="00921DCA" w:rsidP="00545189">
            <w:pPr>
              <w:jc w:val="right"/>
              <w:rPr>
                <w:sz w:val="22"/>
                <w:szCs w:val="22"/>
              </w:rPr>
            </w:pPr>
          </w:p>
        </w:tc>
      </w:tr>
      <w:tr w:rsidR="00921DCA" w:rsidRPr="005B73B6" w14:paraId="7C0FD164" w14:textId="77777777" w:rsidTr="00545189">
        <w:tblPrEx>
          <w:tblCellMar>
            <w:left w:w="108" w:type="dxa"/>
            <w:right w:w="108" w:type="dxa"/>
          </w:tblCellMar>
        </w:tblPrEx>
        <w:trPr>
          <w:trHeight w:val="270"/>
        </w:trPr>
        <w:tc>
          <w:tcPr>
            <w:tcW w:w="4977" w:type="dxa"/>
            <w:noWrap/>
          </w:tcPr>
          <w:p w14:paraId="1B28970D" w14:textId="77777777" w:rsidR="00921DCA" w:rsidRPr="005B73B6" w:rsidRDefault="00921DCA" w:rsidP="00545189">
            <w:pPr>
              <w:rPr>
                <w:bCs/>
                <w:sz w:val="22"/>
                <w:szCs w:val="22"/>
              </w:rPr>
            </w:pPr>
            <w:r w:rsidRPr="005B73B6">
              <w:rPr>
                <w:bCs/>
                <w:sz w:val="22"/>
                <w:szCs w:val="22"/>
              </w:rPr>
              <w:t>Loss</w:t>
            </w:r>
            <w:r>
              <w:rPr>
                <w:bCs/>
                <w:sz w:val="22"/>
                <w:szCs w:val="22"/>
              </w:rPr>
              <w:t xml:space="preserve"> for the financial year</w:t>
            </w:r>
            <w:r w:rsidRPr="005B73B6">
              <w:rPr>
                <w:bCs/>
                <w:sz w:val="22"/>
                <w:szCs w:val="22"/>
              </w:rPr>
              <w:t xml:space="preserve"> from discontinued operations</w:t>
            </w:r>
          </w:p>
        </w:tc>
        <w:tc>
          <w:tcPr>
            <w:tcW w:w="1188" w:type="dxa"/>
          </w:tcPr>
          <w:p w14:paraId="7F379041" w14:textId="7BDA3C10" w:rsidR="00921DCA" w:rsidRPr="005B73B6" w:rsidRDefault="00921DCA" w:rsidP="00545189">
            <w:pPr>
              <w:ind w:left="-108"/>
              <w:rPr>
                <w:sz w:val="22"/>
                <w:szCs w:val="22"/>
              </w:rPr>
            </w:pPr>
          </w:p>
        </w:tc>
        <w:tc>
          <w:tcPr>
            <w:tcW w:w="1188" w:type="dxa"/>
          </w:tcPr>
          <w:p w14:paraId="11A61935" w14:textId="77777777" w:rsidR="00921DCA" w:rsidRPr="005B73B6" w:rsidRDefault="00921DCA" w:rsidP="00545189">
            <w:pPr>
              <w:rPr>
                <w:sz w:val="22"/>
                <w:szCs w:val="22"/>
              </w:rPr>
            </w:pPr>
          </w:p>
        </w:tc>
        <w:tc>
          <w:tcPr>
            <w:tcW w:w="1110" w:type="dxa"/>
          </w:tcPr>
          <w:p w14:paraId="2C21C904" w14:textId="77777777" w:rsidR="00921DCA" w:rsidRPr="005B73B6" w:rsidRDefault="00921DCA" w:rsidP="00545189">
            <w:pPr>
              <w:jc w:val="right"/>
              <w:rPr>
                <w:b/>
                <w:sz w:val="22"/>
                <w:szCs w:val="22"/>
              </w:rPr>
            </w:pPr>
            <w:r w:rsidRPr="005B73B6">
              <w:rPr>
                <w:b/>
                <w:sz w:val="22"/>
                <w:szCs w:val="22"/>
              </w:rPr>
              <w:t>(</w:t>
            </w:r>
            <w:r>
              <w:rPr>
                <w:b/>
                <w:sz w:val="22"/>
                <w:szCs w:val="22"/>
              </w:rPr>
              <w:t>71</w:t>
            </w:r>
            <w:r w:rsidRPr="005B73B6">
              <w:rPr>
                <w:b/>
                <w:sz w:val="22"/>
                <w:szCs w:val="22"/>
              </w:rPr>
              <w:t>)</w:t>
            </w:r>
          </w:p>
        </w:tc>
        <w:tc>
          <w:tcPr>
            <w:tcW w:w="1115" w:type="dxa"/>
            <w:noWrap/>
          </w:tcPr>
          <w:p w14:paraId="2729723A" w14:textId="77777777" w:rsidR="00921DCA" w:rsidRPr="005B73B6" w:rsidRDefault="00921DCA" w:rsidP="00545189">
            <w:pPr>
              <w:jc w:val="right"/>
              <w:rPr>
                <w:sz w:val="22"/>
                <w:szCs w:val="22"/>
              </w:rPr>
            </w:pPr>
            <w:r w:rsidRPr="005B73B6">
              <w:rPr>
                <w:sz w:val="22"/>
                <w:szCs w:val="22"/>
              </w:rPr>
              <w:t>(</w:t>
            </w:r>
            <w:r>
              <w:rPr>
                <w:sz w:val="22"/>
                <w:szCs w:val="22"/>
              </w:rPr>
              <w:t>62</w:t>
            </w:r>
            <w:r w:rsidRPr="005B73B6">
              <w:rPr>
                <w:sz w:val="22"/>
                <w:szCs w:val="22"/>
              </w:rPr>
              <w:t>)</w:t>
            </w:r>
          </w:p>
        </w:tc>
      </w:tr>
      <w:tr w:rsidR="00921DCA" w:rsidRPr="005B73B6" w14:paraId="450079C9" w14:textId="77777777" w:rsidTr="00545189">
        <w:tblPrEx>
          <w:tblCellMar>
            <w:left w:w="108" w:type="dxa"/>
            <w:right w:w="108" w:type="dxa"/>
          </w:tblCellMar>
        </w:tblPrEx>
        <w:trPr>
          <w:trHeight w:val="270"/>
        </w:trPr>
        <w:tc>
          <w:tcPr>
            <w:tcW w:w="4977" w:type="dxa"/>
            <w:noWrap/>
          </w:tcPr>
          <w:p w14:paraId="05E0DD9F" w14:textId="77777777" w:rsidR="00921DCA" w:rsidRPr="005B73B6" w:rsidRDefault="00921DCA" w:rsidP="00545189">
            <w:pPr>
              <w:rPr>
                <w:b/>
                <w:bCs/>
                <w:sz w:val="22"/>
                <w:szCs w:val="22"/>
              </w:rPr>
            </w:pPr>
          </w:p>
        </w:tc>
        <w:tc>
          <w:tcPr>
            <w:tcW w:w="1188" w:type="dxa"/>
          </w:tcPr>
          <w:p w14:paraId="1EA2CCA5" w14:textId="77777777" w:rsidR="00921DCA" w:rsidRPr="005B73B6" w:rsidRDefault="00921DCA" w:rsidP="00545189">
            <w:pPr>
              <w:rPr>
                <w:sz w:val="22"/>
                <w:szCs w:val="22"/>
              </w:rPr>
            </w:pPr>
          </w:p>
        </w:tc>
        <w:tc>
          <w:tcPr>
            <w:tcW w:w="1188" w:type="dxa"/>
          </w:tcPr>
          <w:p w14:paraId="66918C0A" w14:textId="77777777" w:rsidR="00921DCA" w:rsidRPr="005B73B6" w:rsidRDefault="00921DCA" w:rsidP="00545189">
            <w:pPr>
              <w:rPr>
                <w:sz w:val="22"/>
                <w:szCs w:val="22"/>
              </w:rPr>
            </w:pPr>
          </w:p>
        </w:tc>
        <w:tc>
          <w:tcPr>
            <w:tcW w:w="1110" w:type="dxa"/>
            <w:tcBorders>
              <w:bottom w:val="single" w:sz="4" w:space="0" w:color="auto"/>
            </w:tcBorders>
          </w:tcPr>
          <w:p w14:paraId="78B63B03" w14:textId="77777777" w:rsidR="00921DCA" w:rsidRPr="005B73B6" w:rsidRDefault="00921DCA" w:rsidP="00545189">
            <w:pPr>
              <w:jc w:val="right"/>
              <w:rPr>
                <w:b/>
                <w:sz w:val="22"/>
                <w:szCs w:val="22"/>
              </w:rPr>
            </w:pPr>
          </w:p>
        </w:tc>
        <w:tc>
          <w:tcPr>
            <w:tcW w:w="1115" w:type="dxa"/>
            <w:tcBorders>
              <w:bottom w:val="single" w:sz="4" w:space="0" w:color="auto"/>
            </w:tcBorders>
            <w:noWrap/>
          </w:tcPr>
          <w:p w14:paraId="0202EB10" w14:textId="77777777" w:rsidR="00921DCA" w:rsidRPr="005B73B6" w:rsidRDefault="00921DCA" w:rsidP="00545189">
            <w:pPr>
              <w:jc w:val="right"/>
              <w:rPr>
                <w:sz w:val="22"/>
                <w:szCs w:val="22"/>
              </w:rPr>
            </w:pPr>
          </w:p>
        </w:tc>
      </w:tr>
      <w:tr w:rsidR="0019411F" w:rsidRPr="005B73B6" w14:paraId="338173FF" w14:textId="77777777" w:rsidTr="0069677A">
        <w:tblPrEx>
          <w:tblCellMar>
            <w:left w:w="108" w:type="dxa"/>
            <w:right w:w="108" w:type="dxa"/>
          </w:tblCellMar>
        </w:tblPrEx>
        <w:trPr>
          <w:trHeight w:val="270"/>
        </w:trPr>
        <w:tc>
          <w:tcPr>
            <w:tcW w:w="4977" w:type="dxa"/>
            <w:noWrap/>
          </w:tcPr>
          <w:p w14:paraId="32C6666A" w14:textId="77777777" w:rsidR="0019411F" w:rsidRDefault="0019411F" w:rsidP="0019411F">
            <w:pPr>
              <w:spacing w:line="256" w:lineRule="auto"/>
              <w:rPr>
                <w:b/>
                <w:bCs/>
                <w:sz w:val="22"/>
                <w:szCs w:val="22"/>
              </w:rPr>
            </w:pPr>
            <w:r>
              <w:rPr>
                <w:b/>
                <w:bCs/>
                <w:sz w:val="22"/>
                <w:szCs w:val="22"/>
              </w:rPr>
              <w:t>Profit for the financial year attributable to</w:t>
            </w:r>
          </w:p>
          <w:p w14:paraId="2AB7FDCB" w14:textId="0053BEBD" w:rsidR="0019411F" w:rsidRPr="005B73B6" w:rsidRDefault="0019411F" w:rsidP="0019411F">
            <w:pPr>
              <w:rPr>
                <w:b/>
                <w:bCs/>
                <w:sz w:val="22"/>
                <w:szCs w:val="22"/>
              </w:rPr>
            </w:pPr>
            <w:r>
              <w:rPr>
                <w:b/>
                <w:bCs/>
                <w:sz w:val="22"/>
                <w:szCs w:val="22"/>
              </w:rPr>
              <w:t>owners of the parent</w:t>
            </w:r>
          </w:p>
        </w:tc>
        <w:tc>
          <w:tcPr>
            <w:tcW w:w="1188" w:type="dxa"/>
          </w:tcPr>
          <w:p w14:paraId="6F902165" w14:textId="77777777" w:rsidR="0019411F" w:rsidRPr="005B73B6" w:rsidRDefault="0019411F" w:rsidP="0019411F">
            <w:pPr>
              <w:rPr>
                <w:sz w:val="22"/>
                <w:szCs w:val="22"/>
              </w:rPr>
            </w:pPr>
          </w:p>
        </w:tc>
        <w:tc>
          <w:tcPr>
            <w:tcW w:w="1188" w:type="dxa"/>
          </w:tcPr>
          <w:p w14:paraId="075E18EE" w14:textId="77777777" w:rsidR="0019411F" w:rsidRPr="005B73B6" w:rsidRDefault="0019411F" w:rsidP="0019411F">
            <w:pPr>
              <w:rPr>
                <w:sz w:val="22"/>
                <w:szCs w:val="22"/>
              </w:rPr>
            </w:pPr>
          </w:p>
        </w:tc>
        <w:tc>
          <w:tcPr>
            <w:tcW w:w="1110" w:type="dxa"/>
            <w:tcBorders>
              <w:top w:val="single" w:sz="4" w:space="0" w:color="auto"/>
              <w:left w:val="nil"/>
              <w:bottom w:val="nil"/>
              <w:right w:val="nil"/>
            </w:tcBorders>
          </w:tcPr>
          <w:p w14:paraId="3FEF120A" w14:textId="64C704B3" w:rsidR="0019411F" w:rsidRPr="005B73B6" w:rsidRDefault="0019411F" w:rsidP="0019411F">
            <w:pPr>
              <w:jc w:val="right"/>
              <w:rPr>
                <w:b/>
                <w:sz w:val="22"/>
                <w:szCs w:val="22"/>
              </w:rPr>
            </w:pPr>
            <w:r>
              <w:rPr>
                <w:b/>
                <w:sz w:val="22"/>
                <w:szCs w:val="22"/>
              </w:rPr>
              <w:t>1,437</w:t>
            </w:r>
          </w:p>
        </w:tc>
        <w:tc>
          <w:tcPr>
            <w:tcW w:w="1115" w:type="dxa"/>
            <w:tcBorders>
              <w:top w:val="single" w:sz="4" w:space="0" w:color="auto"/>
              <w:left w:val="nil"/>
              <w:bottom w:val="nil"/>
              <w:right w:val="nil"/>
            </w:tcBorders>
            <w:noWrap/>
          </w:tcPr>
          <w:p w14:paraId="5193F095" w14:textId="698BD155" w:rsidR="0019411F" w:rsidRPr="005B73B6" w:rsidRDefault="0019411F" w:rsidP="0019411F">
            <w:pPr>
              <w:jc w:val="right"/>
              <w:rPr>
                <w:sz w:val="22"/>
                <w:szCs w:val="22"/>
              </w:rPr>
            </w:pPr>
            <w:r>
              <w:rPr>
                <w:sz w:val="22"/>
                <w:szCs w:val="22"/>
              </w:rPr>
              <w:t>1,841</w:t>
            </w:r>
          </w:p>
        </w:tc>
      </w:tr>
      <w:tr w:rsidR="0019411F" w:rsidRPr="005B73B6" w14:paraId="1B7B62E1" w14:textId="77777777" w:rsidTr="00545189">
        <w:tblPrEx>
          <w:tblCellMar>
            <w:left w:w="108" w:type="dxa"/>
            <w:right w:w="108" w:type="dxa"/>
          </w:tblCellMar>
        </w:tblPrEx>
        <w:trPr>
          <w:trHeight w:val="270"/>
        </w:trPr>
        <w:tc>
          <w:tcPr>
            <w:tcW w:w="4977" w:type="dxa"/>
            <w:noWrap/>
          </w:tcPr>
          <w:p w14:paraId="084BDEBF" w14:textId="77777777" w:rsidR="0019411F" w:rsidRPr="005B73B6" w:rsidRDefault="0019411F" w:rsidP="0019411F">
            <w:pPr>
              <w:rPr>
                <w:b/>
                <w:bCs/>
                <w:sz w:val="22"/>
                <w:szCs w:val="22"/>
              </w:rPr>
            </w:pPr>
          </w:p>
        </w:tc>
        <w:tc>
          <w:tcPr>
            <w:tcW w:w="1188" w:type="dxa"/>
          </w:tcPr>
          <w:p w14:paraId="61AD0872" w14:textId="77777777" w:rsidR="0019411F" w:rsidRPr="005B73B6" w:rsidRDefault="0019411F" w:rsidP="0019411F">
            <w:pPr>
              <w:rPr>
                <w:sz w:val="22"/>
                <w:szCs w:val="22"/>
              </w:rPr>
            </w:pPr>
          </w:p>
        </w:tc>
        <w:tc>
          <w:tcPr>
            <w:tcW w:w="1188" w:type="dxa"/>
          </w:tcPr>
          <w:p w14:paraId="4629ED0F" w14:textId="77777777" w:rsidR="0019411F" w:rsidRPr="005B73B6" w:rsidRDefault="0019411F" w:rsidP="0019411F">
            <w:pPr>
              <w:rPr>
                <w:sz w:val="22"/>
                <w:szCs w:val="22"/>
              </w:rPr>
            </w:pPr>
          </w:p>
        </w:tc>
        <w:tc>
          <w:tcPr>
            <w:tcW w:w="1110" w:type="dxa"/>
          </w:tcPr>
          <w:p w14:paraId="517824A7" w14:textId="77777777" w:rsidR="0019411F" w:rsidRPr="005B73B6" w:rsidRDefault="0019411F" w:rsidP="0019411F">
            <w:pPr>
              <w:jc w:val="right"/>
              <w:rPr>
                <w:b/>
                <w:sz w:val="22"/>
                <w:szCs w:val="22"/>
              </w:rPr>
            </w:pPr>
          </w:p>
        </w:tc>
        <w:tc>
          <w:tcPr>
            <w:tcW w:w="1115" w:type="dxa"/>
            <w:noWrap/>
          </w:tcPr>
          <w:p w14:paraId="0922EA18" w14:textId="77777777" w:rsidR="0019411F" w:rsidRPr="005B73B6" w:rsidRDefault="0019411F" w:rsidP="0019411F">
            <w:pPr>
              <w:jc w:val="right"/>
              <w:rPr>
                <w:sz w:val="22"/>
                <w:szCs w:val="22"/>
              </w:rPr>
            </w:pPr>
          </w:p>
        </w:tc>
      </w:tr>
      <w:tr w:rsidR="0019411F" w:rsidRPr="005B73B6" w14:paraId="34BF75C2" w14:textId="77777777" w:rsidTr="0069677A">
        <w:tblPrEx>
          <w:tblCellMar>
            <w:left w:w="108" w:type="dxa"/>
            <w:right w:w="108" w:type="dxa"/>
          </w:tblCellMar>
        </w:tblPrEx>
        <w:trPr>
          <w:trHeight w:val="270"/>
        </w:trPr>
        <w:tc>
          <w:tcPr>
            <w:tcW w:w="4977" w:type="dxa"/>
            <w:noWrap/>
          </w:tcPr>
          <w:p w14:paraId="678D0224" w14:textId="4852E9ED" w:rsidR="0019411F" w:rsidRPr="005B73B6" w:rsidRDefault="0019411F" w:rsidP="0019411F">
            <w:pPr>
              <w:rPr>
                <w:bCs/>
                <w:sz w:val="22"/>
                <w:szCs w:val="22"/>
              </w:rPr>
            </w:pPr>
            <w:r>
              <w:rPr>
                <w:bCs/>
                <w:sz w:val="22"/>
                <w:szCs w:val="22"/>
              </w:rPr>
              <w:t xml:space="preserve">Other comprehensive income </w:t>
            </w:r>
          </w:p>
        </w:tc>
        <w:tc>
          <w:tcPr>
            <w:tcW w:w="1188" w:type="dxa"/>
          </w:tcPr>
          <w:p w14:paraId="279805F5" w14:textId="77777777" w:rsidR="0019411F" w:rsidRPr="005B73B6" w:rsidRDefault="0019411F" w:rsidP="0019411F">
            <w:pPr>
              <w:rPr>
                <w:sz w:val="22"/>
                <w:szCs w:val="22"/>
              </w:rPr>
            </w:pPr>
          </w:p>
        </w:tc>
        <w:tc>
          <w:tcPr>
            <w:tcW w:w="1188" w:type="dxa"/>
          </w:tcPr>
          <w:p w14:paraId="0E294A8B" w14:textId="77777777" w:rsidR="0019411F" w:rsidRPr="005B73B6" w:rsidRDefault="0019411F" w:rsidP="0019411F">
            <w:pPr>
              <w:rPr>
                <w:sz w:val="22"/>
                <w:szCs w:val="22"/>
              </w:rPr>
            </w:pPr>
          </w:p>
        </w:tc>
        <w:tc>
          <w:tcPr>
            <w:tcW w:w="1110" w:type="dxa"/>
            <w:tcBorders>
              <w:top w:val="nil"/>
              <w:left w:val="nil"/>
              <w:bottom w:val="single" w:sz="4" w:space="0" w:color="auto"/>
              <w:right w:val="nil"/>
            </w:tcBorders>
          </w:tcPr>
          <w:p w14:paraId="611D755C" w14:textId="01DC29C6" w:rsidR="0019411F" w:rsidRPr="005B73B6" w:rsidRDefault="0019411F" w:rsidP="0019411F">
            <w:pPr>
              <w:jc w:val="center"/>
              <w:rPr>
                <w:sz w:val="22"/>
                <w:szCs w:val="22"/>
              </w:rPr>
            </w:pPr>
            <w:r>
              <w:rPr>
                <w:b/>
                <w:sz w:val="22"/>
                <w:szCs w:val="22"/>
              </w:rPr>
              <w:t xml:space="preserve">         162</w:t>
            </w:r>
          </w:p>
        </w:tc>
        <w:tc>
          <w:tcPr>
            <w:tcW w:w="1115" w:type="dxa"/>
            <w:tcBorders>
              <w:top w:val="nil"/>
              <w:left w:val="nil"/>
              <w:bottom w:val="single" w:sz="4" w:space="0" w:color="auto"/>
              <w:right w:val="nil"/>
            </w:tcBorders>
            <w:noWrap/>
          </w:tcPr>
          <w:p w14:paraId="422C3379" w14:textId="5B9691A0" w:rsidR="0019411F" w:rsidRPr="005B73B6" w:rsidRDefault="0019411F" w:rsidP="0019411F">
            <w:pPr>
              <w:jc w:val="right"/>
              <w:rPr>
                <w:b/>
                <w:sz w:val="22"/>
                <w:szCs w:val="22"/>
              </w:rPr>
            </w:pPr>
            <w:r>
              <w:rPr>
                <w:b/>
                <w:sz w:val="22"/>
                <w:szCs w:val="22"/>
              </w:rPr>
              <w:t>-</w:t>
            </w:r>
          </w:p>
        </w:tc>
      </w:tr>
      <w:tr w:rsidR="0019411F" w:rsidRPr="005B73B6" w14:paraId="48ADF34B" w14:textId="77777777" w:rsidTr="0069677A">
        <w:tblPrEx>
          <w:tblCellMar>
            <w:left w:w="108" w:type="dxa"/>
            <w:right w:w="108" w:type="dxa"/>
          </w:tblCellMar>
        </w:tblPrEx>
        <w:trPr>
          <w:trHeight w:val="270"/>
        </w:trPr>
        <w:tc>
          <w:tcPr>
            <w:tcW w:w="4977" w:type="dxa"/>
            <w:noWrap/>
          </w:tcPr>
          <w:p w14:paraId="30157449" w14:textId="329BF936" w:rsidR="0019411F" w:rsidRPr="005B73B6" w:rsidRDefault="0019411F" w:rsidP="0019411F">
            <w:pPr>
              <w:rPr>
                <w:b/>
                <w:bCs/>
                <w:sz w:val="22"/>
                <w:szCs w:val="22"/>
              </w:rPr>
            </w:pPr>
            <w:r>
              <w:rPr>
                <w:b/>
                <w:bCs/>
                <w:sz w:val="22"/>
                <w:szCs w:val="22"/>
              </w:rPr>
              <w:t>Total comprehensive income for the financial year attributable to owners of the parent</w:t>
            </w:r>
          </w:p>
        </w:tc>
        <w:tc>
          <w:tcPr>
            <w:tcW w:w="1188" w:type="dxa"/>
          </w:tcPr>
          <w:p w14:paraId="421AE212" w14:textId="77777777" w:rsidR="0019411F" w:rsidRPr="005B73B6" w:rsidRDefault="0019411F" w:rsidP="0019411F">
            <w:pPr>
              <w:rPr>
                <w:sz w:val="22"/>
                <w:szCs w:val="22"/>
              </w:rPr>
            </w:pPr>
          </w:p>
        </w:tc>
        <w:tc>
          <w:tcPr>
            <w:tcW w:w="1188" w:type="dxa"/>
          </w:tcPr>
          <w:p w14:paraId="1C5FA64E" w14:textId="77777777" w:rsidR="0019411F" w:rsidRPr="005B73B6" w:rsidRDefault="0019411F" w:rsidP="0019411F">
            <w:pPr>
              <w:rPr>
                <w:sz w:val="22"/>
                <w:szCs w:val="22"/>
              </w:rPr>
            </w:pPr>
          </w:p>
        </w:tc>
        <w:tc>
          <w:tcPr>
            <w:tcW w:w="1110" w:type="dxa"/>
            <w:tcBorders>
              <w:top w:val="single" w:sz="4" w:space="0" w:color="auto"/>
              <w:left w:val="nil"/>
              <w:bottom w:val="double" w:sz="4" w:space="0" w:color="auto"/>
              <w:right w:val="nil"/>
            </w:tcBorders>
          </w:tcPr>
          <w:p w14:paraId="1C7BC90B" w14:textId="355304A1" w:rsidR="0019411F" w:rsidRPr="005B73B6" w:rsidRDefault="0019411F" w:rsidP="0019411F">
            <w:pPr>
              <w:jc w:val="right"/>
              <w:rPr>
                <w:b/>
                <w:sz w:val="22"/>
                <w:szCs w:val="22"/>
              </w:rPr>
            </w:pPr>
            <w:r>
              <w:rPr>
                <w:b/>
                <w:sz w:val="22"/>
                <w:szCs w:val="22"/>
              </w:rPr>
              <w:t>1,599</w:t>
            </w:r>
          </w:p>
        </w:tc>
        <w:tc>
          <w:tcPr>
            <w:tcW w:w="1115" w:type="dxa"/>
            <w:tcBorders>
              <w:top w:val="single" w:sz="4" w:space="0" w:color="auto"/>
              <w:left w:val="nil"/>
              <w:bottom w:val="double" w:sz="4" w:space="0" w:color="auto"/>
              <w:right w:val="nil"/>
            </w:tcBorders>
            <w:noWrap/>
          </w:tcPr>
          <w:p w14:paraId="53DC6224" w14:textId="1698B748" w:rsidR="0019411F" w:rsidRPr="005B73B6" w:rsidRDefault="0019411F" w:rsidP="0019411F">
            <w:pPr>
              <w:jc w:val="right"/>
              <w:rPr>
                <w:sz w:val="22"/>
                <w:szCs w:val="22"/>
              </w:rPr>
            </w:pPr>
            <w:r>
              <w:rPr>
                <w:sz w:val="22"/>
                <w:szCs w:val="22"/>
              </w:rPr>
              <w:t>1,841</w:t>
            </w:r>
          </w:p>
        </w:tc>
      </w:tr>
      <w:tr w:rsidR="0019411F" w:rsidRPr="005B73B6" w14:paraId="37AB5D91" w14:textId="77777777" w:rsidTr="0069677A">
        <w:tblPrEx>
          <w:tblCellMar>
            <w:left w:w="108" w:type="dxa"/>
            <w:right w:w="108" w:type="dxa"/>
          </w:tblCellMar>
        </w:tblPrEx>
        <w:trPr>
          <w:trHeight w:val="270"/>
        </w:trPr>
        <w:tc>
          <w:tcPr>
            <w:tcW w:w="4977" w:type="dxa"/>
            <w:noWrap/>
          </w:tcPr>
          <w:p w14:paraId="545B5385" w14:textId="77777777" w:rsidR="0019411F" w:rsidRPr="005B73B6" w:rsidRDefault="0019411F" w:rsidP="0019411F"/>
        </w:tc>
        <w:tc>
          <w:tcPr>
            <w:tcW w:w="1188" w:type="dxa"/>
          </w:tcPr>
          <w:p w14:paraId="4E9FF5E6" w14:textId="77777777" w:rsidR="0019411F" w:rsidRPr="005B73B6" w:rsidRDefault="0019411F" w:rsidP="0019411F"/>
        </w:tc>
        <w:tc>
          <w:tcPr>
            <w:tcW w:w="1188" w:type="dxa"/>
          </w:tcPr>
          <w:p w14:paraId="69A95790" w14:textId="77777777" w:rsidR="0019411F" w:rsidRPr="005B73B6" w:rsidRDefault="0019411F" w:rsidP="0019411F"/>
        </w:tc>
        <w:tc>
          <w:tcPr>
            <w:tcW w:w="1110" w:type="dxa"/>
            <w:tcBorders>
              <w:top w:val="double" w:sz="4" w:space="0" w:color="auto"/>
              <w:left w:val="nil"/>
              <w:bottom w:val="nil"/>
              <w:right w:val="nil"/>
            </w:tcBorders>
          </w:tcPr>
          <w:p w14:paraId="20911571" w14:textId="77777777" w:rsidR="0019411F" w:rsidRPr="005B73B6" w:rsidRDefault="0019411F" w:rsidP="0019411F">
            <w:pPr>
              <w:rPr>
                <w:b/>
              </w:rPr>
            </w:pPr>
          </w:p>
        </w:tc>
        <w:tc>
          <w:tcPr>
            <w:tcW w:w="1115" w:type="dxa"/>
            <w:tcBorders>
              <w:top w:val="double" w:sz="4" w:space="0" w:color="auto"/>
              <w:left w:val="nil"/>
              <w:bottom w:val="nil"/>
              <w:right w:val="nil"/>
            </w:tcBorders>
            <w:noWrap/>
          </w:tcPr>
          <w:p w14:paraId="78F059A1" w14:textId="77777777" w:rsidR="0019411F" w:rsidRPr="005B73B6" w:rsidRDefault="0019411F" w:rsidP="0019411F"/>
        </w:tc>
      </w:tr>
    </w:tbl>
    <w:p w14:paraId="443142B1" w14:textId="77777777" w:rsidR="00921DCA" w:rsidRDefault="00921DCA" w:rsidP="00921DCA">
      <w:pPr>
        <w:overflowPunct/>
        <w:autoSpaceDE/>
        <w:autoSpaceDN/>
        <w:adjustRightInd/>
        <w:textAlignment w:val="auto"/>
      </w:pPr>
    </w:p>
    <w:p w14:paraId="30D850ED" w14:textId="77777777" w:rsidR="00921DCA" w:rsidRDefault="00921DCA" w:rsidP="00921DCA">
      <w:pPr>
        <w:overflowPunct/>
        <w:autoSpaceDE/>
        <w:autoSpaceDN/>
        <w:adjustRightInd/>
        <w:textAlignment w:val="auto"/>
      </w:pPr>
    </w:p>
    <w:p w14:paraId="0480610F" w14:textId="6063E8FC" w:rsidR="00BF6318" w:rsidRDefault="00BF6318" w:rsidP="00921DCA">
      <w:pPr>
        <w:overflowPunct/>
        <w:autoSpaceDE/>
        <w:autoSpaceDN/>
        <w:adjustRightInd/>
        <w:textAlignment w:val="auto"/>
      </w:pPr>
      <w:r>
        <w:br w:type="page"/>
      </w:r>
    </w:p>
    <w:tbl>
      <w:tblPr>
        <w:tblW w:w="9585" w:type="dxa"/>
        <w:tblLayout w:type="fixed"/>
        <w:tblCellMar>
          <w:left w:w="0" w:type="dxa"/>
          <w:right w:w="0" w:type="dxa"/>
        </w:tblCellMar>
        <w:tblLook w:val="04A0" w:firstRow="1" w:lastRow="0" w:firstColumn="1" w:lastColumn="0" w:noHBand="0" w:noVBand="1"/>
      </w:tblPr>
      <w:tblGrid>
        <w:gridCol w:w="4980"/>
        <w:gridCol w:w="1189"/>
        <w:gridCol w:w="1189"/>
        <w:gridCol w:w="1111"/>
        <w:gridCol w:w="1116"/>
      </w:tblGrid>
      <w:tr w:rsidR="0019411F" w14:paraId="7705FBC6" w14:textId="77777777" w:rsidTr="0019411F">
        <w:trPr>
          <w:trHeight w:val="255"/>
        </w:trPr>
        <w:tc>
          <w:tcPr>
            <w:tcW w:w="9578" w:type="dxa"/>
            <w:gridSpan w:val="5"/>
            <w:tcBorders>
              <w:top w:val="nil"/>
              <w:left w:val="nil"/>
              <w:bottom w:val="single" w:sz="4" w:space="0" w:color="auto"/>
              <w:right w:val="nil"/>
            </w:tcBorders>
            <w:noWrap/>
            <w:tcMar>
              <w:top w:w="15" w:type="dxa"/>
              <w:left w:w="15" w:type="dxa"/>
              <w:bottom w:w="0" w:type="dxa"/>
              <w:right w:w="15" w:type="dxa"/>
            </w:tcMar>
            <w:vAlign w:val="bottom"/>
            <w:hideMark/>
          </w:tcPr>
          <w:p w14:paraId="036FE738" w14:textId="77777777" w:rsidR="0019411F" w:rsidRDefault="0019411F">
            <w:pPr>
              <w:overflowPunct/>
              <w:autoSpaceDE/>
              <w:adjustRightInd/>
              <w:spacing w:line="256" w:lineRule="auto"/>
            </w:pPr>
            <w:bookmarkStart w:id="7" w:name="_Hlk34223767"/>
            <w:bookmarkEnd w:id="6"/>
            <w:r>
              <w:lastRenderedPageBreak/>
              <w:br w:type="page"/>
            </w:r>
            <w:r>
              <w:rPr>
                <w:rFonts w:ascii="Arial" w:hAnsi="Arial" w:cs="Arial"/>
                <w:b/>
                <w:bCs/>
                <w:caps/>
                <w:sz w:val="30"/>
                <w:szCs w:val="30"/>
                <w:lang w:eastAsia="en-GB"/>
              </w:rPr>
              <w:t>CONSOLIDATED STATEMENT OF COMPREHENSIVE INCOME</w:t>
            </w:r>
          </w:p>
        </w:tc>
      </w:tr>
      <w:tr w:rsidR="0019411F" w14:paraId="27BC3404" w14:textId="77777777" w:rsidTr="0019411F">
        <w:trPr>
          <w:trHeight w:val="255"/>
        </w:trPr>
        <w:tc>
          <w:tcPr>
            <w:tcW w:w="4977" w:type="dxa"/>
            <w:tcBorders>
              <w:top w:val="single" w:sz="4" w:space="0" w:color="auto"/>
              <w:left w:val="nil"/>
              <w:bottom w:val="nil"/>
              <w:right w:val="nil"/>
            </w:tcBorders>
            <w:noWrap/>
            <w:tcMar>
              <w:top w:w="15" w:type="dxa"/>
              <w:left w:w="15" w:type="dxa"/>
              <w:bottom w:w="0" w:type="dxa"/>
              <w:right w:w="15" w:type="dxa"/>
            </w:tcMar>
            <w:vAlign w:val="bottom"/>
          </w:tcPr>
          <w:p w14:paraId="3B98D01E" w14:textId="77777777" w:rsidR="0019411F" w:rsidRDefault="0019411F">
            <w:pPr>
              <w:spacing w:line="256" w:lineRule="auto"/>
              <w:rPr>
                <w:sz w:val="22"/>
                <w:szCs w:val="22"/>
              </w:rPr>
            </w:pPr>
          </w:p>
        </w:tc>
        <w:tc>
          <w:tcPr>
            <w:tcW w:w="1188" w:type="dxa"/>
            <w:tcBorders>
              <w:top w:val="single" w:sz="4" w:space="0" w:color="auto"/>
              <w:left w:val="nil"/>
              <w:bottom w:val="nil"/>
              <w:right w:val="nil"/>
            </w:tcBorders>
          </w:tcPr>
          <w:p w14:paraId="7074EC08" w14:textId="77777777" w:rsidR="0019411F" w:rsidRDefault="0019411F">
            <w:pPr>
              <w:spacing w:line="256" w:lineRule="auto"/>
              <w:rPr>
                <w:sz w:val="22"/>
                <w:szCs w:val="22"/>
              </w:rPr>
            </w:pPr>
          </w:p>
        </w:tc>
        <w:tc>
          <w:tcPr>
            <w:tcW w:w="1188" w:type="dxa"/>
            <w:tcBorders>
              <w:top w:val="single" w:sz="4" w:space="0" w:color="auto"/>
              <w:left w:val="nil"/>
              <w:bottom w:val="nil"/>
              <w:right w:val="nil"/>
            </w:tcBorders>
          </w:tcPr>
          <w:p w14:paraId="508FE6A4" w14:textId="77777777" w:rsidR="0019411F" w:rsidRDefault="0019411F">
            <w:pPr>
              <w:spacing w:line="256" w:lineRule="auto"/>
              <w:rPr>
                <w:sz w:val="22"/>
                <w:szCs w:val="22"/>
              </w:rPr>
            </w:pPr>
          </w:p>
        </w:tc>
        <w:tc>
          <w:tcPr>
            <w:tcW w:w="1110" w:type="dxa"/>
            <w:tcBorders>
              <w:top w:val="single" w:sz="4" w:space="0" w:color="auto"/>
              <w:left w:val="nil"/>
              <w:bottom w:val="nil"/>
              <w:right w:val="nil"/>
            </w:tcBorders>
            <w:vAlign w:val="bottom"/>
          </w:tcPr>
          <w:p w14:paraId="3B90059C" w14:textId="77777777" w:rsidR="0019411F" w:rsidRDefault="0019411F">
            <w:pPr>
              <w:spacing w:line="256" w:lineRule="auto"/>
              <w:jc w:val="right"/>
              <w:rPr>
                <w:b/>
                <w:sz w:val="22"/>
                <w:szCs w:val="22"/>
              </w:rPr>
            </w:pPr>
          </w:p>
        </w:tc>
        <w:tc>
          <w:tcPr>
            <w:tcW w:w="1115" w:type="dxa"/>
            <w:tcBorders>
              <w:top w:val="single" w:sz="4" w:space="0" w:color="auto"/>
              <w:left w:val="nil"/>
              <w:bottom w:val="nil"/>
              <w:right w:val="nil"/>
            </w:tcBorders>
            <w:noWrap/>
            <w:tcMar>
              <w:top w:w="15" w:type="dxa"/>
              <w:left w:w="15" w:type="dxa"/>
              <w:bottom w:w="0" w:type="dxa"/>
              <w:right w:w="15" w:type="dxa"/>
            </w:tcMar>
            <w:vAlign w:val="bottom"/>
          </w:tcPr>
          <w:p w14:paraId="1F33F7F5" w14:textId="77777777" w:rsidR="0019411F" w:rsidRDefault="0019411F">
            <w:pPr>
              <w:spacing w:line="256" w:lineRule="auto"/>
              <w:jc w:val="right"/>
              <w:rPr>
                <w:sz w:val="22"/>
                <w:szCs w:val="22"/>
              </w:rPr>
            </w:pPr>
          </w:p>
        </w:tc>
      </w:tr>
      <w:tr w:rsidR="0019411F" w14:paraId="5F5B083C" w14:textId="77777777" w:rsidTr="0019411F">
        <w:trPr>
          <w:trHeight w:val="255"/>
        </w:trPr>
        <w:tc>
          <w:tcPr>
            <w:tcW w:w="9578" w:type="dxa"/>
            <w:gridSpan w:val="5"/>
            <w:noWrap/>
            <w:tcMar>
              <w:top w:w="15" w:type="dxa"/>
              <w:left w:w="15" w:type="dxa"/>
              <w:bottom w:w="0" w:type="dxa"/>
              <w:right w:w="15" w:type="dxa"/>
            </w:tcMar>
            <w:vAlign w:val="bottom"/>
            <w:hideMark/>
          </w:tcPr>
          <w:p w14:paraId="7A245843" w14:textId="77777777" w:rsidR="0019411F" w:rsidRDefault="0019411F">
            <w:pPr>
              <w:widowControl w:val="0"/>
              <w:spacing w:line="256" w:lineRule="auto"/>
              <w:rPr>
                <w:i/>
                <w:sz w:val="28"/>
                <w:szCs w:val="28"/>
              </w:rPr>
            </w:pPr>
            <w:r>
              <w:rPr>
                <w:i/>
                <w:sz w:val="28"/>
                <w:szCs w:val="28"/>
              </w:rPr>
              <w:t>for the financial year ended 31 December 2020(continued)</w:t>
            </w:r>
          </w:p>
        </w:tc>
      </w:tr>
      <w:tr w:rsidR="0019411F" w14:paraId="568D8677" w14:textId="77777777" w:rsidTr="0019411F">
        <w:trPr>
          <w:trHeight w:val="255"/>
        </w:trPr>
        <w:tc>
          <w:tcPr>
            <w:tcW w:w="4977" w:type="dxa"/>
            <w:noWrap/>
            <w:tcMar>
              <w:top w:w="15" w:type="dxa"/>
              <w:left w:w="15" w:type="dxa"/>
              <w:bottom w:w="0" w:type="dxa"/>
              <w:right w:w="15" w:type="dxa"/>
            </w:tcMar>
            <w:vAlign w:val="bottom"/>
          </w:tcPr>
          <w:p w14:paraId="4257D66A" w14:textId="77777777" w:rsidR="0019411F" w:rsidRDefault="0019411F">
            <w:pPr>
              <w:spacing w:line="256" w:lineRule="auto"/>
              <w:rPr>
                <w:sz w:val="22"/>
                <w:szCs w:val="22"/>
              </w:rPr>
            </w:pPr>
          </w:p>
        </w:tc>
        <w:tc>
          <w:tcPr>
            <w:tcW w:w="1188" w:type="dxa"/>
          </w:tcPr>
          <w:p w14:paraId="3EC97A92" w14:textId="77777777" w:rsidR="0019411F" w:rsidRDefault="0019411F">
            <w:pPr>
              <w:spacing w:line="256" w:lineRule="auto"/>
              <w:rPr>
                <w:sz w:val="22"/>
                <w:szCs w:val="22"/>
              </w:rPr>
            </w:pPr>
          </w:p>
        </w:tc>
        <w:tc>
          <w:tcPr>
            <w:tcW w:w="1188" w:type="dxa"/>
          </w:tcPr>
          <w:p w14:paraId="5270199D" w14:textId="77777777" w:rsidR="0019411F" w:rsidRDefault="0019411F">
            <w:pPr>
              <w:spacing w:line="256" w:lineRule="auto"/>
              <w:rPr>
                <w:sz w:val="22"/>
                <w:szCs w:val="22"/>
              </w:rPr>
            </w:pPr>
          </w:p>
        </w:tc>
        <w:tc>
          <w:tcPr>
            <w:tcW w:w="1110" w:type="dxa"/>
            <w:vAlign w:val="bottom"/>
          </w:tcPr>
          <w:p w14:paraId="31938F6D" w14:textId="77777777" w:rsidR="0019411F" w:rsidRDefault="0019411F">
            <w:pPr>
              <w:spacing w:line="256" w:lineRule="auto"/>
              <w:jc w:val="right"/>
              <w:rPr>
                <w:b/>
                <w:sz w:val="22"/>
                <w:szCs w:val="22"/>
              </w:rPr>
            </w:pPr>
          </w:p>
        </w:tc>
        <w:tc>
          <w:tcPr>
            <w:tcW w:w="1115" w:type="dxa"/>
            <w:noWrap/>
            <w:tcMar>
              <w:top w:w="15" w:type="dxa"/>
              <w:left w:w="15" w:type="dxa"/>
              <w:bottom w:w="0" w:type="dxa"/>
              <w:right w:w="15" w:type="dxa"/>
            </w:tcMar>
            <w:vAlign w:val="bottom"/>
          </w:tcPr>
          <w:p w14:paraId="04F217F3" w14:textId="77777777" w:rsidR="0019411F" w:rsidRDefault="0019411F">
            <w:pPr>
              <w:spacing w:line="256" w:lineRule="auto"/>
              <w:jc w:val="right"/>
              <w:rPr>
                <w:sz w:val="22"/>
                <w:szCs w:val="22"/>
              </w:rPr>
            </w:pPr>
          </w:p>
        </w:tc>
      </w:tr>
      <w:tr w:rsidR="0019411F" w14:paraId="04244920" w14:textId="77777777" w:rsidTr="0019411F">
        <w:trPr>
          <w:trHeight w:val="255"/>
        </w:trPr>
        <w:tc>
          <w:tcPr>
            <w:tcW w:w="4977" w:type="dxa"/>
            <w:noWrap/>
            <w:tcMar>
              <w:top w:w="15" w:type="dxa"/>
              <w:left w:w="15" w:type="dxa"/>
              <w:bottom w:w="0" w:type="dxa"/>
              <w:right w:w="15" w:type="dxa"/>
            </w:tcMar>
            <w:vAlign w:val="bottom"/>
          </w:tcPr>
          <w:p w14:paraId="0E6C5E1F" w14:textId="77777777" w:rsidR="0019411F" w:rsidRDefault="0019411F">
            <w:pPr>
              <w:spacing w:line="256" w:lineRule="auto"/>
              <w:rPr>
                <w:sz w:val="22"/>
                <w:szCs w:val="22"/>
              </w:rPr>
            </w:pPr>
          </w:p>
        </w:tc>
        <w:tc>
          <w:tcPr>
            <w:tcW w:w="1188" w:type="dxa"/>
          </w:tcPr>
          <w:p w14:paraId="6E638B66" w14:textId="77777777" w:rsidR="0019411F" w:rsidRDefault="0019411F">
            <w:pPr>
              <w:spacing w:line="256" w:lineRule="auto"/>
              <w:rPr>
                <w:sz w:val="22"/>
                <w:szCs w:val="22"/>
              </w:rPr>
            </w:pPr>
          </w:p>
        </w:tc>
        <w:tc>
          <w:tcPr>
            <w:tcW w:w="1188" w:type="dxa"/>
          </w:tcPr>
          <w:p w14:paraId="7BE7B479" w14:textId="77777777" w:rsidR="0019411F" w:rsidRDefault="0019411F">
            <w:pPr>
              <w:spacing w:line="256" w:lineRule="auto"/>
              <w:rPr>
                <w:sz w:val="22"/>
                <w:szCs w:val="22"/>
              </w:rPr>
            </w:pPr>
          </w:p>
        </w:tc>
        <w:tc>
          <w:tcPr>
            <w:tcW w:w="1110" w:type="dxa"/>
            <w:vAlign w:val="bottom"/>
            <w:hideMark/>
          </w:tcPr>
          <w:p w14:paraId="03037FDF" w14:textId="77777777" w:rsidR="0019411F" w:rsidRDefault="0019411F">
            <w:pPr>
              <w:spacing w:line="256" w:lineRule="auto"/>
              <w:jc w:val="right"/>
              <w:rPr>
                <w:b/>
                <w:sz w:val="22"/>
                <w:szCs w:val="22"/>
              </w:rPr>
            </w:pPr>
            <w:r>
              <w:rPr>
                <w:b/>
                <w:sz w:val="22"/>
                <w:szCs w:val="22"/>
              </w:rPr>
              <w:t>2020</w:t>
            </w:r>
          </w:p>
        </w:tc>
        <w:tc>
          <w:tcPr>
            <w:tcW w:w="1115" w:type="dxa"/>
            <w:noWrap/>
            <w:tcMar>
              <w:top w:w="15" w:type="dxa"/>
              <w:left w:w="15" w:type="dxa"/>
              <w:bottom w:w="0" w:type="dxa"/>
              <w:right w:w="15" w:type="dxa"/>
            </w:tcMar>
            <w:vAlign w:val="bottom"/>
            <w:hideMark/>
          </w:tcPr>
          <w:p w14:paraId="384D2F81" w14:textId="77777777" w:rsidR="0019411F" w:rsidRDefault="0019411F">
            <w:pPr>
              <w:spacing w:line="256" w:lineRule="auto"/>
              <w:jc w:val="right"/>
              <w:rPr>
                <w:sz w:val="22"/>
                <w:szCs w:val="22"/>
              </w:rPr>
            </w:pPr>
            <w:r>
              <w:rPr>
                <w:sz w:val="22"/>
                <w:szCs w:val="22"/>
              </w:rPr>
              <w:t>2019</w:t>
            </w:r>
          </w:p>
        </w:tc>
      </w:tr>
      <w:tr w:rsidR="0019411F" w14:paraId="0A388E99" w14:textId="77777777" w:rsidTr="0019411F">
        <w:trPr>
          <w:trHeight w:val="255"/>
        </w:trPr>
        <w:tc>
          <w:tcPr>
            <w:tcW w:w="4977" w:type="dxa"/>
            <w:noWrap/>
            <w:tcMar>
              <w:top w:w="15" w:type="dxa"/>
              <w:left w:w="15" w:type="dxa"/>
              <w:bottom w:w="0" w:type="dxa"/>
              <w:right w:w="15" w:type="dxa"/>
            </w:tcMar>
            <w:vAlign w:val="bottom"/>
          </w:tcPr>
          <w:p w14:paraId="7F161242" w14:textId="77777777" w:rsidR="0019411F" w:rsidRDefault="0019411F">
            <w:pPr>
              <w:spacing w:line="256" w:lineRule="auto"/>
              <w:rPr>
                <w:sz w:val="22"/>
                <w:szCs w:val="22"/>
              </w:rPr>
            </w:pPr>
          </w:p>
        </w:tc>
        <w:tc>
          <w:tcPr>
            <w:tcW w:w="1188" w:type="dxa"/>
          </w:tcPr>
          <w:p w14:paraId="0CC772AE" w14:textId="77777777" w:rsidR="0019411F" w:rsidRDefault="0019411F">
            <w:pPr>
              <w:spacing w:line="256" w:lineRule="auto"/>
              <w:rPr>
                <w:sz w:val="22"/>
                <w:szCs w:val="22"/>
              </w:rPr>
            </w:pPr>
          </w:p>
        </w:tc>
        <w:tc>
          <w:tcPr>
            <w:tcW w:w="1188" w:type="dxa"/>
          </w:tcPr>
          <w:p w14:paraId="5A8724B2" w14:textId="77777777" w:rsidR="0019411F" w:rsidRDefault="0019411F">
            <w:pPr>
              <w:spacing w:line="256" w:lineRule="auto"/>
              <w:rPr>
                <w:sz w:val="22"/>
                <w:szCs w:val="22"/>
              </w:rPr>
            </w:pPr>
          </w:p>
        </w:tc>
        <w:tc>
          <w:tcPr>
            <w:tcW w:w="1110" w:type="dxa"/>
            <w:vAlign w:val="bottom"/>
          </w:tcPr>
          <w:p w14:paraId="0D97B64E" w14:textId="77777777" w:rsidR="0019411F" w:rsidRDefault="0019411F">
            <w:pPr>
              <w:spacing w:line="256" w:lineRule="auto"/>
              <w:jc w:val="right"/>
              <w:rPr>
                <w:b/>
                <w:sz w:val="22"/>
                <w:szCs w:val="22"/>
              </w:rPr>
            </w:pPr>
          </w:p>
        </w:tc>
        <w:tc>
          <w:tcPr>
            <w:tcW w:w="1115" w:type="dxa"/>
            <w:noWrap/>
            <w:tcMar>
              <w:top w:w="15" w:type="dxa"/>
              <w:left w:w="15" w:type="dxa"/>
              <w:bottom w:w="0" w:type="dxa"/>
              <w:right w:w="15" w:type="dxa"/>
            </w:tcMar>
            <w:vAlign w:val="bottom"/>
          </w:tcPr>
          <w:p w14:paraId="1039888F" w14:textId="77777777" w:rsidR="0019411F" w:rsidRDefault="0019411F">
            <w:pPr>
              <w:spacing w:line="256" w:lineRule="auto"/>
              <w:jc w:val="right"/>
              <w:rPr>
                <w:sz w:val="22"/>
                <w:szCs w:val="22"/>
              </w:rPr>
            </w:pPr>
          </w:p>
        </w:tc>
      </w:tr>
      <w:tr w:rsidR="0019411F" w14:paraId="7783184E" w14:textId="77777777" w:rsidTr="0019411F">
        <w:trPr>
          <w:trHeight w:val="255"/>
        </w:trPr>
        <w:tc>
          <w:tcPr>
            <w:tcW w:w="4977" w:type="dxa"/>
            <w:noWrap/>
            <w:tcMar>
              <w:top w:w="15" w:type="dxa"/>
              <w:left w:w="15" w:type="dxa"/>
              <w:bottom w:w="0" w:type="dxa"/>
              <w:right w:w="15" w:type="dxa"/>
            </w:tcMar>
            <w:vAlign w:val="bottom"/>
            <w:hideMark/>
          </w:tcPr>
          <w:p w14:paraId="36C34359" w14:textId="77777777" w:rsidR="0019411F" w:rsidRDefault="0019411F">
            <w:pPr>
              <w:spacing w:line="256" w:lineRule="auto"/>
              <w:rPr>
                <w:b/>
                <w:sz w:val="22"/>
                <w:szCs w:val="22"/>
              </w:rPr>
            </w:pPr>
            <w:r>
              <w:rPr>
                <w:b/>
                <w:sz w:val="22"/>
                <w:szCs w:val="22"/>
              </w:rPr>
              <w:t>Earnings per share expressed in pence per share:</w:t>
            </w:r>
          </w:p>
        </w:tc>
        <w:tc>
          <w:tcPr>
            <w:tcW w:w="1188" w:type="dxa"/>
          </w:tcPr>
          <w:p w14:paraId="7BFB76E9" w14:textId="77777777" w:rsidR="0019411F" w:rsidRDefault="0019411F">
            <w:pPr>
              <w:spacing w:line="256" w:lineRule="auto"/>
              <w:rPr>
                <w:sz w:val="22"/>
                <w:szCs w:val="22"/>
              </w:rPr>
            </w:pPr>
          </w:p>
        </w:tc>
        <w:tc>
          <w:tcPr>
            <w:tcW w:w="1188" w:type="dxa"/>
          </w:tcPr>
          <w:p w14:paraId="790DB0B7" w14:textId="77777777" w:rsidR="0019411F" w:rsidRDefault="0019411F">
            <w:pPr>
              <w:spacing w:line="256" w:lineRule="auto"/>
              <w:rPr>
                <w:sz w:val="22"/>
                <w:szCs w:val="22"/>
              </w:rPr>
            </w:pPr>
          </w:p>
        </w:tc>
        <w:tc>
          <w:tcPr>
            <w:tcW w:w="1110" w:type="dxa"/>
            <w:vAlign w:val="bottom"/>
          </w:tcPr>
          <w:p w14:paraId="1D416839" w14:textId="77777777" w:rsidR="0019411F" w:rsidRDefault="0019411F">
            <w:pPr>
              <w:spacing w:line="256" w:lineRule="auto"/>
              <w:jc w:val="right"/>
              <w:rPr>
                <w:b/>
                <w:sz w:val="22"/>
                <w:szCs w:val="22"/>
              </w:rPr>
            </w:pPr>
          </w:p>
        </w:tc>
        <w:tc>
          <w:tcPr>
            <w:tcW w:w="1115" w:type="dxa"/>
            <w:noWrap/>
            <w:tcMar>
              <w:top w:w="15" w:type="dxa"/>
              <w:left w:w="15" w:type="dxa"/>
              <w:bottom w:w="0" w:type="dxa"/>
              <w:right w:w="15" w:type="dxa"/>
            </w:tcMar>
            <w:vAlign w:val="bottom"/>
          </w:tcPr>
          <w:p w14:paraId="71482367" w14:textId="77777777" w:rsidR="0019411F" w:rsidRDefault="0019411F">
            <w:pPr>
              <w:spacing w:line="256" w:lineRule="auto"/>
              <w:jc w:val="right"/>
              <w:rPr>
                <w:sz w:val="22"/>
                <w:szCs w:val="22"/>
              </w:rPr>
            </w:pPr>
          </w:p>
        </w:tc>
      </w:tr>
      <w:tr w:rsidR="0019411F" w14:paraId="12023311" w14:textId="77777777" w:rsidTr="0019411F">
        <w:trPr>
          <w:trHeight w:val="255"/>
        </w:trPr>
        <w:tc>
          <w:tcPr>
            <w:tcW w:w="4977" w:type="dxa"/>
            <w:noWrap/>
            <w:tcMar>
              <w:top w:w="15" w:type="dxa"/>
              <w:left w:w="15" w:type="dxa"/>
              <w:bottom w:w="0" w:type="dxa"/>
              <w:right w:w="15" w:type="dxa"/>
            </w:tcMar>
            <w:vAlign w:val="bottom"/>
            <w:hideMark/>
          </w:tcPr>
          <w:p w14:paraId="7B486C22" w14:textId="77777777" w:rsidR="0019411F" w:rsidRDefault="0019411F">
            <w:pPr>
              <w:spacing w:line="256" w:lineRule="auto"/>
            </w:pPr>
            <w:r>
              <w:rPr>
                <w:sz w:val="22"/>
                <w:szCs w:val="22"/>
              </w:rPr>
              <w:t xml:space="preserve">From continuing operations </w:t>
            </w:r>
          </w:p>
          <w:p w14:paraId="246941AD" w14:textId="77777777" w:rsidR="0019411F" w:rsidRDefault="0019411F">
            <w:pPr>
              <w:spacing w:line="256" w:lineRule="auto"/>
            </w:pPr>
            <w:r>
              <w:rPr>
                <w:sz w:val="22"/>
                <w:szCs w:val="22"/>
              </w:rPr>
              <w:t xml:space="preserve">- basic </w:t>
            </w:r>
          </w:p>
        </w:tc>
        <w:tc>
          <w:tcPr>
            <w:tcW w:w="1188" w:type="dxa"/>
          </w:tcPr>
          <w:p w14:paraId="75093DEB" w14:textId="77777777" w:rsidR="0019411F" w:rsidRDefault="0019411F">
            <w:pPr>
              <w:spacing w:line="256" w:lineRule="auto"/>
              <w:rPr>
                <w:sz w:val="22"/>
                <w:szCs w:val="22"/>
              </w:rPr>
            </w:pPr>
          </w:p>
        </w:tc>
        <w:tc>
          <w:tcPr>
            <w:tcW w:w="1188" w:type="dxa"/>
          </w:tcPr>
          <w:p w14:paraId="7E9969C9" w14:textId="77777777" w:rsidR="0019411F" w:rsidRDefault="0019411F">
            <w:pPr>
              <w:spacing w:line="256" w:lineRule="auto"/>
              <w:rPr>
                <w:sz w:val="22"/>
                <w:szCs w:val="22"/>
              </w:rPr>
            </w:pPr>
          </w:p>
        </w:tc>
        <w:tc>
          <w:tcPr>
            <w:tcW w:w="1110" w:type="dxa"/>
            <w:vAlign w:val="bottom"/>
            <w:hideMark/>
          </w:tcPr>
          <w:p w14:paraId="5E7C4951" w14:textId="77777777" w:rsidR="0019411F" w:rsidRDefault="0019411F">
            <w:pPr>
              <w:spacing w:line="256" w:lineRule="auto"/>
              <w:jc w:val="right"/>
              <w:rPr>
                <w:b/>
              </w:rPr>
            </w:pPr>
            <w:r>
              <w:rPr>
                <w:b/>
                <w:sz w:val="22"/>
                <w:szCs w:val="22"/>
              </w:rPr>
              <w:t>5.02p</w:t>
            </w:r>
          </w:p>
        </w:tc>
        <w:tc>
          <w:tcPr>
            <w:tcW w:w="1115" w:type="dxa"/>
            <w:noWrap/>
            <w:tcMar>
              <w:top w:w="15" w:type="dxa"/>
              <w:left w:w="15" w:type="dxa"/>
              <w:bottom w:w="0" w:type="dxa"/>
              <w:right w:w="15" w:type="dxa"/>
            </w:tcMar>
            <w:vAlign w:val="bottom"/>
            <w:hideMark/>
          </w:tcPr>
          <w:p w14:paraId="611587A8" w14:textId="77777777" w:rsidR="0019411F" w:rsidRDefault="0019411F">
            <w:pPr>
              <w:spacing w:line="256" w:lineRule="auto"/>
              <w:jc w:val="right"/>
            </w:pPr>
            <w:r>
              <w:rPr>
                <w:sz w:val="22"/>
                <w:szCs w:val="22"/>
              </w:rPr>
              <w:t>6.33p</w:t>
            </w:r>
          </w:p>
        </w:tc>
      </w:tr>
      <w:tr w:rsidR="0019411F" w14:paraId="164F7B73" w14:textId="77777777" w:rsidTr="0019411F">
        <w:trPr>
          <w:trHeight w:val="255"/>
        </w:trPr>
        <w:tc>
          <w:tcPr>
            <w:tcW w:w="4977" w:type="dxa"/>
            <w:noWrap/>
            <w:tcMar>
              <w:top w:w="15" w:type="dxa"/>
              <w:left w:w="15" w:type="dxa"/>
              <w:bottom w:w="0" w:type="dxa"/>
              <w:right w:w="15" w:type="dxa"/>
            </w:tcMar>
            <w:vAlign w:val="bottom"/>
            <w:hideMark/>
          </w:tcPr>
          <w:p w14:paraId="796DD064" w14:textId="77777777" w:rsidR="0019411F" w:rsidRDefault="0019411F">
            <w:pPr>
              <w:spacing w:line="256" w:lineRule="auto"/>
            </w:pPr>
            <w:r>
              <w:rPr>
                <w:sz w:val="22"/>
                <w:szCs w:val="22"/>
              </w:rPr>
              <w:t>- diluted</w:t>
            </w:r>
          </w:p>
        </w:tc>
        <w:tc>
          <w:tcPr>
            <w:tcW w:w="1188" w:type="dxa"/>
          </w:tcPr>
          <w:p w14:paraId="04E07588" w14:textId="77777777" w:rsidR="0019411F" w:rsidRDefault="0019411F">
            <w:pPr>
              <w:spacing w:line="256" w:lineRule="auto"/>
              <w:rPr>
                <w:sz w:val="22"/>
                <w:szCs w:val="22"/>
              </w:rPr>
            </w:pPr>
          </w:p>
        </w:tc>
        <w:tc>
          <w:tcPr>
            <w:tcW w:w="1188" w:type="dxa"/>
          </w:tcPr>
          <w:p w14:paraId="320996C8" w14:textId="77777777" w:rsidR="0019411F" w:rsidRDefault="0019411F">
            <w:pPr>
              <w:spacing w:line="256" w:lineRule="auto"/>
              <w:rPr>
                <w:sz w:val="22"/>
                <w:szCs w:val="22"/>
              </w:rPr>
            </w:pPr>
          </w:p>
        </w:tc>
        <w:tc>
          <w:tcPr>
            <w:tcW w:w="1110" w:type="dxa"/>
            <w:vAlign w:val="bottom"/>
            <w:hideMark/>
          </w:tcPr>
          <w:p w14:paraId="34EA4F39" w14:textId="77777777" w:rsidR="0019411F" w:rsidRDefault="0019411F">
            <w:pPr>
              <w:spacing w:line="256" w:lineRule="auto"/>
              <w:jc w:val="right"/>
              <w:rPr>
                <w:b/>
              </w:rPr>
            </w:pPr>
            <w:r>
              <w:rPr>
                <w:b/>
                <w:sz w:val="22"/>
                <w:szCs w:val="22"/>
              </w:rPr>
              <w:t>5.02p</w:t>
            </w:r>
          </w:p>
        </w:tc>
        <w:tc>
          <w:tcPr>
            <w:tcW w:w="1115" w:type="dxa"/>
            <w:noWrap/>
            <w:tcMar>
              <w:top w:w="15" w:type="dxa"/>
              <w:left w:w="15" w:type="dxa"/>
              <w:bottom w:w="0" w:type="dxa"/>
              <w:right w:w="15" w:type="dxa"/>
            </w:tcMar>
            <w:vAlign w:val="bottom"/>
            <w:hideMark/>
          </w:tcPr>
          <w:p w14:paraId="1BEE0C02" w14:textId="77777777" w:rsidR="0019411F" w:rsidRDefault="0019411F">
            <w:pPr>
              <w:spacing w:line="256" w:lineRule="auto"/>
              <w:jc w:val="right"/>
            </w:pPr>
            <w:r>
              <w:rPr>
                <w:sz w:val="22"/>
                <w:szCs w:val="22"/>
              </w:rPr>
              <w:t>6.33p</w:t>
            </w:r>
          </w:p>
        </w:tc>
      </w:tr>
      <w:tr w:rsidR="0019411F" w14:paraId="66BF462A" w14:textId="77777777" w:rsidTr="0019411F">
        <w:trPr>
          <w:trHeight w:val="255"/>
        </w:trPr>
        <w:tc>
          <w:tcPr>
            <w:tcW w:w="4977" w:type="dxa"/>
            <w:noWrap/>
            <w:tcMar>
              <w:top w:w="15" w:type="dxa"/>
              <w:left w:w="15" w:type="dxa"/>
              <w:bottom w:w="0" w:type="dxa"/>
              <w:right w:w="15" w:type="dxa"/>
            </w:tcMar>
            <w:vAlign w:val="bottom"/>
          </w:tcPr>
          <w:p w14:paraId="023FB2A3" w14:textId="77777777" w:rsidR="0019411F" w:rsidRDefault="0019411F">
            <w:pPr>
              <w:spacing w:line="256" w:lineRule="auto"/>
              <w:rPr>
                <w:sz w:val="22"/>
                <w:szCs w:val="22"/>
              </w:rPr>
            </w:pPr>
          </w:p>
        </w:tc>
        <w:tc>
          <w:tcPr>
            <w:tcW w:w="1188" w:type="dxa"/>
          </w:tcPr>
          <w:p w14:paraId="60B4D21B" w14:textId="77777777" w:rsidR="0019411F" w:rsidRDefault="0019411F">
            <w:pPr>
              <w:spacing w:line="256" w:lineRule="auto"/>
              <w:rPr>
                <w:sz w:val="22"/>
                <w:szCs w:val="22"/>
              </w:rPr>
            </w:pPr>
          </w:p>
        </w:tc>
        <w:tc>
          <w:tcPr>
            <w:tcW w:w="1188" w:type="dxa"/>
          </w:tcPr>
          <w:p w14:paraId="13ED4D2D" w14:textId="77777777" w:rsidR="0019411F" w:rsidRDefault="0019411F">
            <w:pPr>
              <w:spacing w:line="256" w:lineRule="auto"/>
              <w:rPr>
                <w:sz w:val="22"/>
                <w:szCs w:val="22"/>
              </w:rPr>
            </w:pPr>
          </w:p>
        </w:tc>
        <w:tc>
          <w:tcPr>
            <w:tcW w:w="1110" w:type="dxa"/>
            <w:vAlign w:val="bottom"/>
          </w:tcPr>
          <w:p w14:paraId="11B66907" w14:textId="77777777" w:rsidR="0019411F" w:rsidRDefault="0019411F">
            <w:pPr>
              <w:spacing w:line="256" w:lineRule="auto"/>
              <w:jc w:val="right"/>
              <w:rPr>
                <w:b/>
                <w:sz w:val="22"/>
                <w:szCs w:val="22"/>
              </w:rPr>
            </w:pPr>
          </w:p>
        </w:tc>
        <w:tc>
          <w:tcPr>
            <w:tcW w:w="1115" w:type="dxa"/>
            <w:noWrap/>
            <w:tcMar>
              <w:top w:w="15" w:type="dxa"/>
              <w:left w:w="15" w:type="dxa"/>
              <w:bottom w:w="0" w:type="dxa"/>
              <w:right w:w="15" w:type="dxa"/>
            </w:tcMar>
            <w:vAlign w:val="bottom"/>
          </w:tcPr>
          <w:p w14:paraId="1DE7F56E" w14:textId="77777777" w:rsidR="0019411F" w:rsidRDefault="0019411F">
            <w:pPr>
              <w:spacing w:line="256" w:lineRule="auto"/>
              <w:jc w:val="right"/>
              <w:rPr>
                <w:sz w:val="22"/>
                <w:szCs w:val="22"/>
              </w:rPr>
            </w:pPr>
          </w:p>
        </w:tc>
      </w:tr>
      <w:tr w:rsidR="0019411F" w14:paraId="638B6FF9" w14:textId="77777777" w:rsidTr="0019411F">
        <w:trPr>
          <w:trHeight w:val="255"/>
        </w:trPr>
        <w:tc>
          <w:tcPr>
            <w:tcW w:w="4977" w:type="dxa"/>
            <w:noWrap/>
            <w:tcMar>
              <w:top w:w="15" w:type="dxa"/>
              <w:left w:w="15" w:type="dxa"/>
              <w:bottom w:w="0" w:type="dxa"/>
              <w:right w:w="15" w:type="dxa"/>
            </w:tcMar>
            <w:vAlign w:val="bottom"/>
          </w:tcPr>
          <w:p w14:paraId="52F3A4DB" w14:textId="77777777" w:rsidR="0019411F" w:rsidRDefault="0019411F">
            <w:pPr>
              <w:spacing w:line="256" w:lineRule="auto"/>
              <w:rPr>
                <w:sz w:val="22"/>
                <w:szCs w:val="22"/>
              </w:rPr>
            </w:pPr>
          </w:p>
        </w:tc>
        <w:tc>
          <w:tcPr>
            <w:tcW w:w="1188" w:type="dxa"/>
          </w:tcPr>
          <w:p w14:paraId="6808391A" w14:textId="77777777" w:rsidR="0019411F" w:rsidRDefault="0019411F">
            <w:pPr>
              <w:spacing w:line="256" w:lineRule="auto"/>
              <w:rPr>
                <w:sz w:val="22"/>
                <w:szCs w:val="22"/>
              </w:rPr>
            </w:pPr>
          </w:p>
        </w:tc>
        <w:tc>
          <w:tcPr>
            <w:tcW w:w="1188" w:type="dxa"/>
          </w:tcPr>
          <w:p w14:paraId="1E838898" w14:textId="77777777" w:rsidR="0019411F" w:rsidRDefault="0019411F">
            <w:pPr>
              <w:spacing w:line="256" w:lineRule="auto"/>
              <w:rPr>
                <w:sz w:val="22"/>
                <w:szCs w:val="22"/>
              </w:rPr>
            </w:pPr>
          </w:p>
        </w:tc>
        <w:tc>
          <w:tcPr>
            <w:tcW w:w="1110" w:type="dxa"/>
            <w:vAlign w:val="bottom"/>
          </w:tcPr>
          <w:p w14:paraId="371BE325" w14:textId="77777777" w:rsidR="0019411F" w:rsidRDefault="0019411F">
            <w:pPr>
              <w:spacing w:line="256" w:lineRule="auto"/>
              <w:jc w:val="right"/>
              <w:rPr>
                <w:b/>
                <w:sz w:val="22"/>
                <w:szCs w:val="22"/>
              </w:rPr>
            </w:pPr>
          </w:p>
        </w:tc>
        <w:tc>
          <w:tcPr>
            <w:tcW w:w="1115" w:type="dxa"/>
            <w:noWrap/>
            <w:tcMar>
              <w:top w:w="15" w:type="dxa"/>
              <w:left w:w="15" w:type="dxa"/>
              <w:bottom w:w="0" w:type="dxa"/>
              <w:right w:w="15" w:type="dxa"/>
            </w:tcMar>
            <w:vAlign w:val="bottom"/>
          </w:tcPr>
          <w:p w14:paraId="43E5D78F" w14:textId="77777777" w:rsidR="0019411F" w:rsidRDefault="0019411F">
            <w:pPr>
              <w:spacing w:line="256" w:lineRule="auto"/>
              <w:jc w:val="right"/>
              <w:rPr>
                <w:sz w:val="22"/>
                <w:szCs w:val="22"/>
              </w:rPr>
            </w:pPr>
          </w:p>
        </w:tc>
      </w:tr>
      <w:tr w:rsidR="0019411F" w14:paraId="684357CF" w14:textId="77777777" w:rsidTr="0019411F">
        <w:trPr>
          <w:trHeight w:val="255"/>
        </w:trPr>
        <w:tc>
          <w:tcPr>
            <w:tcW w:w="4977" w:type="dxa"/>
            <w:noWrap/>
            <w:tcMar>
              <w:top w:w="15" w:type="dxa"/>
              <w:left w:w="15" w:type="dxa"/>
              <w:bottom w:w="0" w:type="dxa"/>
              <w:right w:w="15" w:type="dxa"/>
            </w:tcMar>
            <w:vAlign w:val="bottom"/>
            <w:hideMark/>
          </w:tcPr>
          <w:p w14:paraId="77539A4A" w14:textId="77777777" w:rsidR="0019411F" w:rsidRDefault="0019411F">
            <w:pPr>
              <w:spacing w:line="256" w:lineRule="auto"/>
            </w:pPr>
            <w:r>
              <w:rPr>
                <w:sz w:val="22"/>
                <w:szCs w:val="22"/>
              </w:rPr>
              <w:t xml:space="preserve">From discontinued operations </w:t>
            </w:r>
          </w:p>
          <w:p w14:paraId="5D530C3B" w14:textId="77777777" w:rsidR="0019411F" w:rsidRDefault="0019411F">
            <w:pPr>
              <w:spacing w:line="256" w:lineRule="auto"/>
            </w:pPr>
            <w:r>
              <w:rPr>
                <w:sz w:val="22"/>
                <w:szCs w:val="22"/>
              </w:rPr>
              <w:t xml:space="preserve">- basic </w:t>
            </w:r>
          </w:p>
        </w:tc>
        <w:tc>
          <w:tcPr>
            <w:tcW w:w="1188" w:type="dxa"/>
          </w:tcPr>
          <w:p w14:paraId="56091D4E" w14:textId="77777777" w:rsidR="0019411F" w:rsidRDefault="0019411F">
            <w:pPr>
              <w:spacing w:line="256" w:lineRule="auto"/>
              <w:rPr>
                <w:sz w:val="22"/>
                <w:szCs w:val="22"/>
              </w:rPr>
            </w:pPr>
          </w:p>
        </w:tc>
        <w:tc>
          <w:tcPr>
            <w:tcW w:w="1188" w:type="dxa"/>
          </w:tcPr>
          <w:p w14:paraId="36B62C6D" w14:textId="77777777" w:rsidR="0019411F" w:rsidRDefault="0019411F">
            <w:pPr>
              <w:spacing w:line="256" w:lineRule="auto"/>
              <w:rPr>
                <w:sz w:val="22"/>
                <w:szCs w:val="22"/>
              </w:rPr>
            </w:pPr>
          </w:p>
        </w:tc>
        <w:tc>
          <w:tcPr>
            <w:tcW w:w="1110" w:type="dxa"/>
            <w:vAlign w:val="bottom"/>
            <w:hideMark/>
          </w:tcPr>
          <w:p w14:paraId="05D32B71" w14:textId="77777777" w:rsidR="0019411F" w:rsidRDefault="0019411F">
            <w:pPr>
              <w:spacing w:line="256" w:lineRule="auto"/>
              <w:jc w:val="right"/>
              <w:rPr>
                <w:b/>
              </w:rPr>
            </w:pPr>
            <w:r>
              <w:rPr>
                <w:b/>
                <w:sz w:val="22"/>
                <w:szCs w:val="22"/>
              </w:rPr>
              <w:t>(0.24)p</w:t>
            </w:r>
          </w:p>
        </w:tc>
        <w:tc>
          <w:tcPr>
            <w:tcW w:w="1115" w:type="dxa"/>
            <w:noWrap/>
            <w:tcMar>
              <w:top w:w="15" w:type="dxa"/>
              <w:left w:w="15" w:type="dxa"/>
              <w:bottom w:w="0" w:type="dxa"/>
              <w:right w:w="15" w:type="dxa"/>
            </w:tcMar>
            <w:vAlign w:val="bottom"/>
            <w:hideMark/>
          </w:tcPr>
          <w:p w14:paraId="1136395D" w14:textId="77777777" w:rsidR="0019411F" w:rsidRDefault="0019411F">
            <w:pPr>
              <w:spacing w:line="256" w:lineRule="auto"/>
              <w:jc w:val="right"/>
            </w:pPr>
            <w:r>
              <w:rPr>
                <w:sz w:val="22"/>
                <w:szCs w:val="22"/>
              </w:rPr>
              <w:t>(0.21)p</w:t>
            </w:r>
          </w:p>
        </w:tc>
      </w:tr>
      <w:tr w:rsidR="0019411F" w14:paraId="60024FF4" w14:textId="77777777" w:rsidTr="0019411F">
        <w:trPr>
          <w:trHeight w:val="255"/>
        </w:trPr>
        <w:tc>
          <w:tcPr>
            <w:tcW w:w="4977" w:type="dxa"/>
            <w:noWrap/>
            <w:tcMar>
              <w:top w:w="15" w:type="dxa"/>
              <w:left w:w="15" w:type="dxa"/>
              <w:bottom w:w="0" w:type="dxa"/>
              <w:right w:w="15" w:type="dxa"/>
            </w:tcMar>
            <w:vAlign w:val="bottom"/>
            <w:hideMark/>
          </w:tcPr>
          <w:p w14:paraId="7A8C94C9" w14:textId="77777777" w:rsidR="0019411F" w:rsidRDefault="0019411F">
            <w:pPr>
              <w:spacing w:line="256" w:lineRule="auto"/>
            </w:pPr>
            <w:r>
              <w:rPr>
                <w:sz w:val="22"/>
                <w:szCs w:val="22"/>
              </w:rPr>
              <w:t>- diluted</w:t>
            </w:r>
          </w:p>
        </w:tc>
        <w:tc>
          <w:tcPr>
            <w:tcW w:w="1188" w:type="dxa"/>
          </w:tcPr>
          <w:p w14:paraId="7E34D522" w14:textId="77777777" w:rsidR="0019411F" w:rsidRDefault="0019411F">
            <w:pPr>
              <w:spacing w:line="256" w:lineRule="auto"/>
              <w:rPr>
                <w:sz w:val="22"/>
                <w:szCs w:val="22"/>
              </w:rPr>
            </w:pPr>
          </w:p>
        </w:tc>
        <w:tc>
          <w:tcPr>
            <w:tcW w:w="1188" w:type="dxa"/>
          </w:tcPr>
          <w:p w14:paraId="4BE16BC4" w14:textId="77777777" w:rsidR="0019411F" w:rsidRDefault="0019411F">
            <w:pPr>
              <w:spacing w:line="256" w:lineRule="auto"/>
              <w:rPr>
                <w:sz w:val="22"/>
                <w:szCs w:val="22"/>
              </w:rPr>
            </w:pPr>
          </w:p>
        </w:tc>
        <w:tc>
          <w:tcPr>
            <w:tcW w:w="1110" w:type="dxa"/>
            <w:vAlign w:val="bottom"/>
            <w:hideMark/>
          </w:tcPr>
          <w:p w14:paraId="21F02621" w14:textId="77777777" w:rsidR="0019411F" w:rsidRDefault="0019411F">
            <w:pPr>
              <w:spacing w:line="256" w:lineRule="auto"/>
              <w:jc w:val="right"/>
              <w:rPr>
                <w:b/>
              </w:rPr>
            </w:pPr>
            <w:r>
              <w:rPr>
                <w:b/>
                <w:sz w:val="22"/>
                <w:szCs w:val="22"/>
              </w:rPr>
              <w:t>(0.24)p</w:t>
            </w:r>
          </w:p>
        </w:tc>
        <w:tc>
          <w:tcPr>
            <w:tcW w:w="1115" w:type="dxa"/>
            <w:noWrap/>
            <w:tcMar>
              <w:top w:w="15" w:type="dxa"/>
              <w:left w:w="15" w:type="dxa"/>
              <w:bottom w:w="0" w:type="dxa"/>
              <w:right w:w="15" w:type="dxa"/>
            </w:tcMar>
            <w:vAlign w:val="bottom"/>
            <w:hideMark/>
          </w:tcPr>
          <w:p w14:paraId="14F3975C" w14:textId="77777777" w:rsidR="0019411F" w:rsidRDefault="0019411F">
            <w:pPr>
              <w:spacing w:line="256" w:lineRule="auto"/>
              <w:jc w:val="right"/>
            </w:pPr>
            <w:r>
              <w:rPr>
                <w:sz w:val="22"/>
                <w:szCs w:val="22"/>
              </w:rPr>
              <w:t>(0.21)p</w:t>
            </w:r>
          </w:p>
        </w:tc>
      </w:tr>
      <w:tr w:rsidR="0019411F" w14:paraId="6F5EED55" w14:textId="77777777" w:rsidTr="0019411F">
        <w:trPr>
          <w:trHeight w:val="255"/>
        </w:trPr>
        <w:tc>
          <w:tcPr>
            <w:tcW w:w="4977" w:type="dxa"/>
            <w:noWrap/>
            <w:tcMar>
              <w:top w:w="15" w:type="dxa"/>
              <w:left w:w="15" w:type="dxa"/>
              <w:bottom w:w="0" w:type="dxa"/>
              <w:right w:w="15" w:type="dxa"/>
            </w:tcMar>
            <w:vAlign w:val="bottom"/>
          </w:tcPr>
          <w:p w14:paraId="53C231EF" w14:textId="77777777" w:rsidR="0019411F" w:rsidRDefault="0019411F">
            <w:pPr>
              <w:spacing w:line="256" w:lineRule="auto"/>
              <w:rPr>
                <w:sz w:val="22"/>
                <w:szCs w:val="22"/>
              </w:rPr>
            </w:pPr>
          </w:p>
        </w:tc>
        <w:tc>
          <w:tcPr>
            <w:tcW w:w="1188" w:type="dxa"/>
          </w:tcPr>
          <w:p w14:paraId="5C02860C" w14:textId="77777777" w:rsidR="0019411F" w:rsidRDefault="0019411F">
            <w:pPr>
              <w:spacing w:line="256" w:lineRule="auto"/>
              <w:rPr>
                <w:sz w:val="22"/>
                <w:szCs w:val="22"/>
              </w:rPr>
            </w:pPr>
          </w:p>
        </w:tc>
        <w:tc>
          <w:tcPr>
            <w:tcW w:w="1188" w:type="dxa"/>
          </w:tcPr>
          <w:p w14:paraId="67DD6D99" w14:textId="77777777" w:rsidR="0019411F" w:rsidRDefault="0019411F">
            <w:pPr>
              <w:spacing w:line="256" w:lineRule="auto"/>
              <w:rPr>
                <w:sz w:val="22"/>
                <w:szCs w:val="22"/>
              </w:rPr>
            </w:pPr>
          </w:p>
        </w:tc>
        <w:tc>
          <w:tcPr>
            <w:tcW w:w="1110" w:type="dxa"/>
            <w:vAlign w:val="bottom"/>
          </w:tcPr>
          <w:p w14:paraId="34C26E5C" w14:textId="77777777" w:rsidR="0019411F" w:rsidRDefault="0019411F">
            <w:pPr>
              <w:spacing w:line="256" w:lineRule="auto"/>
              <w:jc w:val="right"/>
              <w:rPr>
                <w:b/>
                <w:sz w:val="22"/>
                <w:szCs w:val="22"/>
              </w:rPr>
            </w:pPr>
          </w:p>
        </w:tc>
        <w:tc>
          <w:tcPr>
            <w:tcW w:w="1115" w:type="dxa"/>
            <w:noWrap/>
            <w:tcMar>
              <w:top w:w="15" w:type="dxa"/>
              <w:left w:w="15" w:type="dxa"/>
              <w:bottom w:w="0" w:type="dxa"/>
              <w:right w:w="15" w:type="dxa"/>
            </w:tcMar>
            <w:vAlign w:val="bottom"/>
          </w:tcPr>
          <w:p w14:paraId="221088DB" w14:textId="77777777" w:rsidR="0019411F" w:rsidRDefault="0019411F">
            <w:pPr>
              <w:spacing w:line="256" w:lineRule="auto"/>
              <w:jc w:val="right"/>
              <w:rPr>
                <w:sz w:val="22"/>
                <w:szCs w:val="22"/>
              </w:rPr>
            </w:pPr>
          </w:p>
        </w:tc>
      </w:tr>
      <w:bookmarkEnd w:id="7"/>
    </w:tbl>
    <w:p w14:paraId="27C3C36D" w14:textId="77777777" w:rsidR="0019411F" w:rsidRDefault="0019411F" w:rsidP="0019411F">
      <w:pPr>
        <w:pStyle w:val="Companyname"/>
        <w:widowControl w:val="0"/>
      </w:pPr>
    </w:p>
    <w:p w14:paraId="1C2CF5A8" w14:textId="77777777" w:rsidR="0019411F" w:rsidRDefault="0019411F" w:rsidP="0019411F">
      <w:pPr>
        <w:pStyle w:val="Companyname"/>
        <w:widowControl w:val="0"/>
      </w:pPr>
    </w:p>
    <w:p w14:paraId="21E7379F" w14:textId="77777777" w:rsidR="00BF6318" w:rsidRDefault="00BF6318" w:rsidP="00BF6318">
      <w:pPr>
        <w:pStyle w:val="Companyname"/>
        <w:widowControl w:val="0"/>
      </w:pPr>
    </w:p>
    <w:p w14:paraId="3E4D85D6" w14:textId="77777777" w:rsidR="00BF6318" w:rsidRDefault="00BF6318" w:rsidP="00BF6318">
      <w:pPr>
        <w:pStyle w:val="Companyname"/>
        <w:widowControl w:val="0"/>
      </w:pPr>
    </w:p>
    <w:p w14:paraId="3F1429A0" w14:textId="77777777" w:rsidR="00BF6318" w:rsidRDefault="00BF6318" w:rsidP="00BF6318">
      <w:pPr>
        <w:pStyle w:val="Companyname"/>
        <w:widowControl w:val="0"/>
      </w:pPr>
    </w:p>
    <w:p w14:paraId="038DB286" w14:textId="77777777" w:rsidR="00BF6318" w:rsidRDefault="00BF6318" w:rsidP="00BF6318">
      <w:pPr>
        <w:pStyle w:val="Companyname"/>
        <w:widowControl w:val="0"/>
      </w:pPr>
    </w:p>
    <w:p w14:paraId="6E067886" w14:textId="77777777" w:rsidR="00BF6318" w:rsidRDefault="00BF6318" w:rsidP="00BF6318">
      <w:pPr>
        <w:pStyle w:val="Companyname"/>
        <w:widowControl w:val="0"/>
      </w:pPr>
    </w:p>
    <w:p w14:paraId="094A8F37" w14:textId="77777777" w:rsidR="00BF6318" w:rsidRDefault="00BF6318" w:rsidP="00BF6318">
      <w:pPr>
        <w:pStyle w:val="Companyname"/>
        <w:widowControl w:val="0"/>
      </w:pPr>
    </w:p>
    <w:p w14:paraId="0C64DF11" w14:textId="77777777" w:rsidR="00BF6318" w:rsidRDefault="00BF6318" w:rsidP="00BF6318">
      <w:pPr>
        <w:pStyle w:val="Companyname"/>
        <w:widowControl w:val="0"/>
      </w:pPr>
    </w:p>
    <w:p w14:paraId="14CE377D" w14:textId="77777777" w:rsidR="00BF6318" w:rsidRDefault="00BF6318" w:rsidP="00BF6318">
      <w:pPr>
        <w:pStyle w:val="Companyname"/>
        <w:widowControl w:val="0"/>
      </w:pPr>
    </w:p>
    <w:p w14:paraId="4633859C" w14:textId="77777777" w:rsidR="00BF6318" w:rsidRDefault="00BF6318" w:rsidP="00BF6318">
      <w:pPr>
        <w:pStyle w:val="Companyname"/>
        <w:widowControl w:val="0"/>
      </w:pPr>
    </w:p>
    <w:p w14:paraId="41998B49" w14:textId="77777777" w:rsidR="00BF6318" w:rsidRDefault="00BF6318" w:rsidP="00BF6318">
      <w:pPr>
        <w:pStyle w:val="Companyname"/>
        <w:widowControl w:val="0"/>
      </w:pPr>
    </w:p>
    <w:p w14:paraId="3A8152A6" w14:textId="77777777" w:rsidR="00BF6318" w:rsidRDefault="00BF6318" w:rsidP="00BF6318">
      <w:pPr>
        <w:overflowPunct/>
        <w:autoSpaceDE/>
        <w:autoSpaceDN/>
        <w:adjustRightInd/>
        <w:textAlignment w:val="auto"/>
        <w:rPr>
          <w:rFonts w:ascii="Times" w:hAnsi="Times"/>
          <w:sz w:val="36"/>
        </w:rPr>
      </w:pPr>
      <w:r>
        <w:rPr>
          <w:rFonts w:ascii="Times" w:hAnsi="Times"/>
          <w:sz w:val="36"/>
        </w:rPr>
        <w:br w:type="page"/>
      </w:r>
    </w:p>
    <w:p w14:paraId="7ADD34E0" w14:textId="77777777" w:rsidR="0069677A" w:rsidRDefault="0069677A" w:rsidP="0069677A">
      <w:pPr>
        <w:pBdr>
          <w:bottom w:val="single" w:sz="8" w:space="5" w:color="000000"/>
        </w:pBdr>
        <w:suppressAutoHyphens/>
        <w:overflowPunct/>
        <w:spacing w:line="288" w:lineRule="auto"/>
        <w:textAlignment w:val="center"/>
        <w:rPr>
          <w:b/>
          <w:bCs/>
          <w:i/>
          <w:iCs/>
          <w:caps/>
          <w:color w:val="000000"/>
          <w:sz w:val="30"/>
          <w:szCs w:val="30"/>
          <w:lang w:eastAsia="en-GB"/>
        </w:rPr>
      </w:pPr>
      <w:r>
        <w:rPr>
          <w:rFonts w:ascii="Arial" w:hAnsi="Arial" w:cs="Arial"/>
          <w:b/>
          <w:bCs/>
          <w:caps/>
          <w:color w:val="000000"/>
          <w:sz w:val="30"/>
          <w:szCs w:val="30"/>
          <w:lang w:eastAsia="en-GB"/>
        </w:rPr>
        <w:lastRenderedPageBreak/>
        <w:t>Consolidated Statement of financial position</w:t>
      </w:r>
    </w:p>
    <w:p w14:paraId="13427A60" w14:textId="77777777" w:rsidR="0069677A" w:rsidRDefault="0069677A" w:rsidP="0069677A">
      <w:pPr>
        <w:pStyle w:val="Accountstext"/>
        <w:widowControl w:val="0"/>
        <w:rPr>
          <w:rFonts w:ascii="Times New Roman" w:hAnsi="Times New Roman"/>
          <w:i/>
          <w:sz w:val="28"/>
          <w:szCs w:val="28"/>
        </w:rPr>
      </w:pPr>
      <w:r>
        <w:rPr>
          <w:rFonts w:ascii="Times New Roman" w:hAnsi="Times New Roman"/>
          <w:i/>
          <w:sz w:val="28"/>
          <w:szCs w:val="28"/>
        </w:rPr>
        <w:t>at 31 December 2020</w:t>
      </w:r>
    </w:p>
    <w:tbl>
      <w:tblPr>
        <w:tblW w:w="9414" w:type="dxa"/>
        <w:tblCellMar>
          <w:left w:w="0" w:type="dxa"/>
          <w:right w:w="0" w:type="dxa"/>
        </w:tblCellMar>
        <w:tblLook w:val="04A0" w:firstRow="1" w:lastRow="0" w:firstColumn="1" w:lastColumn="0" w:noHBand="0" w:noVBand="1"/>
      </w:tblPr>
      <w:tblGrid>
        <w:gridCol w:w="5402"/>
        <w:gridCol w:w="1003"/>
        <w:gridCol w:w="1003"/>
        <w:gridCol w:w="1003"/>
        <w:gridCol w:w="1003"/>
      </w:tblGrid>
      <w:tr w:rsidR="0069677A" w14:paraId="26EBB0E6" w14:textId="77777777">
        <w:trPr>
          <w:trHeight w:val="255"/>
        </w:trPr>
        <w:tc>
          <w:tcPr>
            <w:tcW w:w="5402" w:type="dxa"/>
            <w:noWrap/>
            <w:tcMar>
              <w:top w:w="15" w:type="dxa"/>
              <w:left w:w="15" w:type="dxa"/>
              <w:bottom w:w="0" w:type="dxa"/>
              <w:right w:w="15" w:type="dxa"/>
            </w:tcMar>
            <w:vAlign w:val="bottom"/>
          </w:tcPr>
          <w:p w14:paraId="785D783C" w14:textId="77777777" w:rsidR="0069677A" w:rsidRDefault="0069677A">
            <w:pPr>
              <w:spacing w:line="256" w:lineRule="auto"/>
            </w:pPr>
          </w:p>
        </w:tc>
        <w:tc>
          <w:tcPr>
            <w:tcW w:w="1003" w:type="dxa"/>
          </w:tcPr>
          <w:p w14:paraId="34DA7AF3" w14:textId="77777777" w:rsidR="0069677A" w:rsidRDefault="0069677A">
            <w:pPr>
              <w:spacing w:line="256" w:lineRule="auto"/>
              <w:rPr>
                <w:b/>
                <w:sz w:val="22"/>
                <w:szCs w:val="22"/>
              </w:rPr>
            </w:pPr>
          </w:p>
        </w:tc>
        <w:tc>
          <w:tcPr>
            <w:tcW w:w="1003" w:type="dxa"/>
          </w:tcPr>
          <w:p w14:paraId="3CAB9E82" w14:textId="77777777" w:rsidR="0069677A" w:rsidRDefault="0069677A">
            <w:pPr>
              <w:spacing w:line="256" w:lineRule="auto"/>
              <w:jc w:val="right"/>
              <w:rPr>
                <w:b/>
                <w:sz w:val="22"/>
                <w:szCs w:val="22"/>
              </w:rPr>
            </w:pPr>
          </w:p>
        </w:tc>
        <w:tc>
          <w:tcPr>
            <w:tcW w:w="1003" w:type="dxa"/>
            <w:noWrap/>
            <w:tcMar>
              <w:top w:w="15" w:type="dxa"/>
              <w:left w:w="15" w:type="dxa"/>
              <w:bottom w:w="0" w:type="dxa"/>
              <w:right w:w="15" w:type="dxa"/>
            </w:tcMar>
            <w:vAlign w:val="bottom"/>
            <w:hideMark/>
          </w:tcPr>
          <w:p w14:paraId="1EECC017" w14:textId="77777777" w:rsidR="0069677A" w:rsidRDefault="0069677A">
            <w:pPr>
              <w:spacing w:line="256" w:lineRule="auto"/>
              <w:jc w:val="right"/>
              <w:rPr>
                <w:b/>
              </w:rPr>
            </w:pPr>
            <w:r>
              <w:rPr>
                <w:b/>
                <w:sz w:val="22"/>
                <w:szCs w:val="22"/>
              </w:rPr>
              <w:t>2020</w:t>
            </w:r>
          </w:p>
        </w:tc>
        <w:tc>
          <w:tcPr>
            <w:tcW w:w="1003" w:type="dxa"/>
            <w:noWrap/>
            <w:tcMar>
              <w:top w:w="15" w:type="dxa"/>
              <w:left w:w="15" w:type="dxa"/>
              <w:bottom w:w="0" w:type="dxa"/>
              <w:right w:w="15" w:type="dxa"/>
            </w:tcMar>
            <w:vAlign w:val="bottom"/>
            <w:hideMark/>
          </w:tcPr>
          <w:p w14:paraId="7B91E42E" w14:textId="77777777" w:rsidR="0069677A" w:rsidRDefault="0069677A">
            <w:pPr>
              <w:spacing w:line="256" w:lineRule="auto"/>
              <w:jc w:val="right"/>
            </w:pPr>
            <w:r>
              <w:rPr>
                <w:sz w:val="22"/>
                <w:szCs w:val="22"/>
              </w:rPr>
              <w:t>2019</w:t>
            </w:r>
          </w:p>
        </w:tc>
      </w:tr>
      <w:tr w:rsidR="0069677A" w14:paraId="16FBE6A6" w14:textId="77777777">
        <w:trPr>
          <w:trHeight w:val="255"/>
        </w:trPr>
        <w:tc>
          <w:tcPr>
            <w:tcW w:w="5402" w:type="dxa"/>
            <w:noWrap/>
            <w:tcMar>
              <w:top w:w="15" w:type="dxa"/>
              <w:left w:w="15" w:type="dxa"/>
              <w:bottom w:w="0" w:type="dxa"/>
              <w:right w:w="15" w:type="dxa"/>
            </w:tcMar>
            <w:vAlign w:val="bottom"/>
          </w:tcPr>
          <w:p w14:paraId="3AEE2885" w14:textId="77777777" w:rsidR="0069677A" w:rsidRDefault="0069677A">
            <w:pPr>
              <w:spacing w:line="256" w:lineRule="auto"/>
            </w:pPr>
          </w:p>
        </w:tc>
        <w:tc>
          <w:tcPr>
            <w:tcW w:w="1003" w:type="dxa"/>
          </w:tcPr>
          <w:p w14:paraId="5D953C4C" w14:textId="77777777" w:rsidR="0069677A" w:rsidRDefault="0069677A">
            <w:pPr>
              <w:spacing w:line="256" w:lineRule="auto"/>
              <w:jc w:val="right"/>
              <w:rPr>
                <w:b/>
                <w:sz w:val="22"/>
                <w:szCs w:val="22"/>
              </w:rPr>
            </w:pPr>
          </w:p>
        </w:tc>
        <w:tc>
          <w:tcPr>
            <w:tcW w:w="1003" w:type="dxa"/>
          </w:tcPr>
          <w:p w14:paraId="4137227A" w14:textId="77777777" w:rsidR="0069677A" w:rsidRDefault="0069677A">
            <w:pPr>
              <w:spacing w:line="256" w:lineRule="auto"/>
              <w:jc w:val="right"/>
              <w:rPr>
                <w:b/>
                <w:sz w:val="22"/>
                <w:szCs w:val="22"/>
              </w:rPr>
            </w:pPr>
          </w:p>
        </w:tc>
        <w:tc>
          <w:tcPr>
            <w:tcW w:w="1003" w:type="dxa"/>
            <w:noWrap/>
            <w:tcMar>
              <w:top w:w="15" w:type="dxa"/>
              <w:left w:w="15" w:type="dxa"/>
              <w:bottom w:w="0" w:type="dxa"/>
              <w:right w:w="15" w:type="dxa"/>
            </w:tcMar>
            <w:hideMark/>
          </w:tcPr>
          <w:p w14:paraId="7B326740" w14:textId="77777777" w:rsidR="0069677A" w:rsidRDefault="0069677A">
            <w:pPr>
              <w:spacing w:line="256" w:lineRule="auto"/>
              <w:jc w:val="right"/>
              <w:rPr>
                <w:b/>
              </w:rPr>
            </w:pPr>
            <w:r>
              <w:rPr>
                <w:b/>
                <w:sz w:val="22"/>
                <w:szCs w:val="22"/>
              </w:rPr>
              <w:t>£’000</w:t>
            </w:r>
          </w:p>
        </w:tc>
        <w:tc>
          <w:tcPr>
            <w:tcW w:w="1003" w:type="dxa"/>
            <w:noWrap/>
            <w:tcMar>
              <w:top w:w="15" w:type="dxa"/>
              <w:left w:w="15" w:type="dxa"/>
              <w:bottom w:w="0" w:type="dxa"/>
              <w:right w:w="15" w:type="dxa"/>
            </w:tcMar>
            <w:vAlign w:val="bottom"/>
            <w:hideMark/>
          </w:tcPr>
          <w:p w14:paraId="57B006A6" w14:textId="77777777" w:rsidR="0069677A" w:rsidRDefault="0069677A">
            <w:pPr>
              <w:spacing w:line="256" w:lineRule="auto"/>
              <w:jc w:val="right"/>
              <w:rPr>
                <w:sz w:val="22"/>
                <w:szCs w:val="22"/>
              </w:rPr>
            </w:pPr>
            <w:r>
              <w:rPr>
                <w:sz w:val="22"/>
                <w:szCs w:val="22"/>
              </w:rPr>
              <w:t>£’000</w:t>
            </w:r>
          </w:p>
        </w:tc>
      </w:tr>
      <w:tr w:rsidR="0069677A" w14:paraId="10A4C0C6" w14:textId="77777777">
        <w:trPr>
          <w:trHeight w:val="255"/>
        </w:trPr>
        <w:tc>
          <w:tcPr>
            <w:tcW w:w="5402" w:type="dxa"/>
            <w:noWrap/>
            <w:tcMar>
              <w:top w:w="15" w:type="dxa"/>
              <w:left w:w="15" w:type="dxa"/>
              <w:bottom w:w="0" w:type="dxa"/>
              <w:right w:w="15" w:type="dxa"/>
            </w:tcMar>
            <w:vAlign w:val="bottom"/>
            <w:hideMark/>
          </w:tcPr>
          <w:p w14:paraId="58CC27B3" w14:textId="77777777" w:rsidR="0069677A" w:rsidRDefault="0069677A">
            <w:pPr>
              <w:spacing w:line="256" w:lineRule="auto"/>
              <w:rPr>
                <w:b/>
                <w:bCs/>
              </w:rPr>
            </w:pPr>
            <w:proofErr w:type="spellStart"/>
            <w:r>
              <w:rPr>
                <w:b/>
                <w:bCs/>
              </w:rPr>
              <w:t>Non current</w:t>
            </w:r>
            <w:proofErr w:type="spellEnd"/>
            <w:r>
              <w:rPr>
                <w:b/>
                <w:bCs/>
              </w:rPr>
              <w:t xml:space="preserve"> assets</w:t>
            </w:r>
          </w:p>
        </w:tc>
        <w:tc>
          <w:tcPr>
            <w:tcW w:w="1003" w:type="dxa"/>
          </w:tcPr>
          <w:p w14:paraId="2B1BDD1D" w14:textId="77777777" w:rsidR="0069677A" w:rsidRDefault="0069677A">
            <w:pPr>
              <w:spacing w:line="256" w:lineRule="auto"/>
              <w:rPr>
                <w:b/>
              </w:rPr>
            </w:pPr>
          </w:p>
        </w:tc>
        <w:tc>
          <w:tcPr>
            <w:tcW w:w="1003" w:type="dxa"/>
          </w:tcPr>
          <w:p w14:paraId="66FE6844" w14:textId="77777777" w:rsidR="0069677A" w:rsidRDefault="0069677A">
            <w:pPr>
              <w:spacing w:line="256" w:lineRule="auto"/>
              <w:rPr>
                <w:b/>
              </w:rPr>
            </w:pPr>
          </w:p>
        </w:tc>
        <w:tc>
          <w:tcPr>
            <w:tcW w:w="1003" w:type="dxa"/>
            <w:noWrap/>
            <w:tcMar>
              <w:top w:w="15" w:type="dxa"/>
              <w:left w:w="15" w:type="dxa"/>
              <w:bottom w:w="0" w:type="dxa"/>
              <w:right w:w="15" w:type="dxa"/>
            </w:tcMar>
            <w:vAlign w:val="bottom"/>
          </w:tcPr>
          <w:p w14:paraId="48F2E486" w14:textId="77777777" w:rsidR="0069677A" w:rsidRDefault="0069677A">
            <w:pPr>
              <w:spacing w:line="256" w:lineRule="auto"/>
              <w:rPr>
                <w:b/>
              </w:rPr>
            </w:pPr>
          </w:p>
        </w:tc>
        <w:tc>
          <w:tcPr>
            <w:tcW w:w="1003" w:type="dxa"/>
            <w:noWrap/>
            <w:tcMar>
              <w:top w:w="15" w:type="dxa"/>
              <w:left w:w="15" w:type="dxa"/>
              <w:bottom w:w="0" w:type="dxa"/>
              <w:right w:w="15" w:type="dxa"/>
            </w:tcMar>
            <w:vAlign w:val="bottom"/>
          </w:tcPr>
          <w:p w14:paraId="2935D122" w14:textId="77777777" w:rsidR="0069677A" w:rsidRDefault="0069677A">
            <w:pPr>
              <w:spacing w:line="256" w:lineRule="auto"/>
            </w:pPr>
          </w:p>
        </w:tc>
      </w:tr>
      <w:tr w:rsidR="0069677A" w14:paraId="0ED3C532" w14:textId="77777777">
        <w:trPr>
          <w:trHeight w:val="255"/>
        </w:trPr>
        <w:tc>
          <w:tcPr>
            <w:tcW w:w="5402" w:type="dxa"/>
            <w:noWrap/>
            <w:tcMar>
              <w:top w:w="15" w:type="dxa"/>
              <w:left w:w="15" w:type="dxa"/>
              <w:bottom w:w="0" w:type="dxa"/>
              <w:right w:w="15" w:type="dxa"/>
            </w:tcMar>
            <w:vAlign w:val="bottom"/>
            <w:hideMark/>
          </w:tcPr>
          <w:p w14:paraId="1B8420FB" w14:textId="77777777" w:rsidR="0069677A" w:rsidRDefault="0069677A">
            <w:pPr>
              <w:spacing w:line="256" w:lineRule="auto"/>
            </w:pPr>
            <w:r>
              <w:t>Goodwill</w:t>
            </w:r>
          </w:p>
        </w:tc>
        <w:tc>
          <w:tcPr>
            <w:tcW w:w="1003" w:type="dxa"/>
          </w:tcPr>
          <w:p w14:paraId="36F207BD" w14:textId="77777777" w:rsidR="0069677A" w:rsidRDefault="0069677A">
            <w:pPr>
              <w:spacing w:line="256" w:lineRule="auto"/>
            </w:pPr>
          </w:p>
        </w:tc>
        <w:tc>
          <w:tcPr>
            <w:tcW w:w="1003" w:type="dxa"/>
          </w:tcPr>
          <w:p w14:paraId="7E1FAD3B" w14:textId="77777777" w:rsidR="0069677A" w:rsidRDefault="0069677A">
            <w:pPr>
              <w:spacing w:line="256" w:lineRule="auto"/>
              <w:jc w:val="right"/>
              <w:rPr>
                <w:b/>
              </w:rPr>
            </w:pPr>
          </w:p>
        </w:tc>
        <w:tc>
          <w:tcPr>
            <w:tcW w:w="1003" w:type="dxa"/>
            <w:noWrap/>
            <w:tcMar>
              <w:top w:w="15" w:type="dxa"/>
              <w:left w:w="15" w:type="dxa"/>
              <w:bottom w:w="0" w:type="dxa"/>
              <w:right w:w="15" w:type="dxa"/>
            </w:tcMar>
            <w:vAlign w:val="bottom"/>
            <w:hideMark/>
          </w:tcPr>
          <w:p w14:paraId="2045ACE4" w14:textId="77777777" w:rsidR="0069677A" w:rsidRDefault="0069677A">
            <w:pPr>
              <w:spacing w:line="256" w:lineRule="auto"/>
              <w:jc w:val="right"/>
              <w:rPr>
                <w:b/>
              </w:rPr>
            </w:pPr>
            <w:r>
              <w:rPr>
                <w:b/>
              </w:rPr>
              <w:t>2,338</w:t>
            </w:r>
          </w:p>
        </w:tc>
        <w:tc>
          <w:tcPr>
            <w:tcW w:w="1003" w:type="dxa"/>
            <w:noWrap/>
            <w:tcMar>
              <w:top w:w="15" w:type="dxa"/>
              <w:left w:w="15" w:type="dxa"/>
              <w:bottom w:w="0" w:type="dxa"/>
              <w:right w:w="15" w:type="dxa"/>
            </w:tcMar>
            <w:vAlign w:val="bottom"/>
            <w:hideMark/>
          </w:tcPr>
          <w:p w14:paraId="2C06756E" w14:textId="77777777" w:rsidR="0069677A" w:rsidRDefault="0069677A">
            <w:pPr>
              <w:spacing w:line="256" w:lineRule="auto"/>
              <w:jc w:val="right"/>
            </w:pPr>
            <w:r>
              <w:t>2,338</w:t>
            </w:r>
          </w:p>
        </w:tc>
      </w:tr>
      <w:tr w:rsidR="0069677A" w14:paraId="3C16CE60" w14:textId="77777777">
        <w:trPr>
          <w:trHeight w:val="255"/>
        </w:trPr>
        <w:tc>
          <w:tcPr>
            <w:tcW w:w="5402" w:type="dxa"/>
            <w:noWrap/>
            <w:tcMar>
              <w:top w:w="15" w:type="dxa"/>
              <w:left w:w="15" w:type="dxa"/>
              <w:bottom w:w="0" w:type="dxa"/>
              <w:right w:w="15" w:type="dxa"/>
            </w:tcMar>
            <w:vAlign w:val="bottom"/>
            <w:hideMark/>
          </w:tcPr>
          <w:p w14:paraId="6D40C689" w14:textId="77777777" w:rsidR="0069677A" w:rsidRDefault="0069677A">
            <w:pPr>
              <w:spacing w:line="256" w:lineRule="auto"/>
            </w:pPr>
            <w:r>
              <w:t>Intangible assets</w:t>
            </w:r>
          </w:p>
        </w:tc>
        <w:tc>
          <w:tcPr>
            <w:tcW w:w="1003" w:type="dxa"/>
          </w:tcPr>
          <w:p w14:paraId="690D5886" w14:textId="77777777" w:rsidR="0069677A" w:rsidRDefault="0069677A">
            <w:pPr>
              <w:spacing w:line="256" w:lineRule="auto"/>
            </w:pPr>
          </w:p>
        </w:tc>
        <w:tc>
          <w:tcPr>
            <w:tcW w:w="1003" w:type="dxa"/>
          </w:tcPr>
          <w:p w14:paraId="4009F61B" w14:textId="77777777" w:rsidR="0069677A" w:rsidRDefault="0069677A">
            <w:pPr>
              <w:spacing w:line="256" w:lineRule="auto"/>
              <w:jc w:val="right"/>
              <w:rPr>
                <w:b/>
              </w:rPr>
            </w:pPr>
          </w:p>
        </w:tc>
        <w:tc>
          <w:tcPr>
            <w:tcW w:w="1003" w:type="dxa"/>
            <w:noWrap/>
            <w:tcMar>
              <w:top w:w="15" w:type="dxa"/>
              <w:left w:w="15" w:type="dxa"/>
              <w:bottom w:w="0" w:type="dxa"/>
              <w:right w:w="15" w:type="dxa"/>
            </w:tcMar>
            <w:vAlign w:val="bottom"/>
            <w:hideMark/>
          </w:tcPr>
          <w:p w14:paraId="59333316" w14:textId="64734FE1" w:rsidR="0069677A" w:rsidRDefault="0069677A">
            <w:pPr>
              <w:spacing w:line="256" w:lineRule="auto"/>
              <w:jc w:val="right"/>
              <w:rPr>
                <w:b/>
              </w:rPr>
            </w:pPr>
            <w:r>
              <w:rPr>
                <w:b/>
              </w:rPr>
              <w:t>1,</w:t>
            </w:r>
            <w:r w:rsidR="00E20FB2">
              <w:rPr>
                <w:b/>
              </w:rPr>
              <w:t>269</w:t>
            </w:r>
          </w:p>
        </w:tc>
        <w:tc>
          <w:tcPr>
            <w:tcW w:w="1003" w:type="dxa"/>
            <w:noWrap/>
            <w:tcMar>
              <w:top w:w="15" w:type="dxa"/>
              <w:left w:w="15" w:type="dxa"/>
              <w:bottom w:w="0" w:type="dxa"/>
              <w:right w:w="15" w:type="dxa"/>
            </w:tcMar>
            <w:vAlign w:val="bottom"/>
            <w:hideMark/>
          </w:tcPr>
          <w:p w14:paraId="1C3BC58F" w14:textId="77777777" w:rsidR="0069677A" w:rsidRDefault="0069677A">
            <w:pPr>
              <w:spacing w:line="256" w:lineRule="auto"/>
              <w:jc w:val="right"/>
            </w:pPr>
            <w:r>
              <w:t>564</w:t>
            </w:r>
          </w:p>
        </w:tc>
      </w:tr>
      <w:tr w:rsidR="0069677A" w14:paraId="5EDFFE80" w14:textId="77777777">
        <w:trPr>
          <w:trHeight w:val="255"/>
        </w:trPr>
        <w:tc>
          <w:tcPr>
            <w:tcW w:w="5402" w:type="dxa"/>
            <w:noWrap/>
            <w:tcMar>
              <w:top w:w="15" w:type="dxa"/>
              <w:left w:w="15" w:type="dxa"/>
              <w:bottom w:w="0" w:type="dxa"/>
              <w:right w:w="15" w:type="dxa"/>
            </w:tcMar>
            <w:vAlign w:val="bottom"/>
            <w:hideMark/>
          </w:tcPr>
          <w:p w14:paraId="51F80108" w14:textId="77777777" w:rsidR="0069677A" w:rsidRDefault="0069677A">
            <w:pPr>
              <w:spacing w:line="256" w:lineRule="auto"/>
            </w:pPr>
            <w:r>
              <w:t>Property, plant and equipment</w:t>
            </w:r>
          </w:p>
        </w:tc>
        <w:tc>
          <w:tcPr>
            <w:tcW w:w="1003" w:type="dxa"/>
          </w:tcPr>
          <w:p w14:paraId="324C66AD" w14:textId="77777777" w:rsidR="0069677A" w:rsidRDefault="0069677A">
            <w:pPr>
              <w:spacing w:line="256" w:lineRule="auto"/>
            </w:pPr>
          </w:p>
        </w:tc>
        <w:tc>
          <w:tcPr>
            <w:tcW w:w="1003" w:type="dxa"/>
          </w:tcPr>
          <w:p w14:paraId="380BBB5D" w14:textId="77777777" w:rsidR="0069677A" w:rsidRDefault="0069677A">
            <w:pPr>
              <w:spacing w:line="256" w:lineRule="auto"/>
              <w:jc w:val="right"/>
              <w:rPr>
                <w:b/>
              </w:rPr>
            </w:pPr>
          </w:p>
        </w:tc>
        <w:tc>
          <w:tcPr>
            <w:tcW w:w="1003" w:type="dxa"/>
            <w:noWrap/>
            <w:tcMar>
              <w:top w:w="15" w:type="dxa"/>
              <w:left w:w="15" w:type="dxa"/>
              <w:bottom w:w="0" w:type="dxa"/>
              <w:right w:w="15" w:type="dxa"/>
            </w:tcMar>
            <w:vAlign w:val="bottom"/>
            <w:hideMark/>
          </w:tcPr>
          <w:p w14:paraId="351FA153" w14:textId="77777777" w:rsidR="0069677A" w:rsidRDefault="0069677A">
            <w:pPr>
              <w:spacing w:line="256" w:lineRule="auto"/>
              <w:jc w:val="right"/>
              <w:rPr>
                <w:b/>
              </w:rPr>
            </w:pPr>
            <w:r>
              <w:rPr>
                <w:b/>
              </w:rPr>
              <w:t>22,898</w:t>
            </w:r>
          </w:p>
        </w:tc>
        <w:tc>
          <w:tcPr>
            <w:tcW w:w="1003" w:type="dxa"/>
            <w:noWrap/>
            <w:tcMar>
              <w:top w:w="15" w:type="dxa"/>
              <w:left w:w="15" w:type="dxa"/>
              <w:bottom w:w="0" w:type="dxa"/>
              <w:right w:w="15" w:type="dxa"/>
            </w:tcMar>
            <w:vAlign w:val="bottom"/>
            <w:hideMark/>
          </w:tcPr>
          <w:p w14:paraId="197CAC05" w14:textId="77777777" w:rsidR="0069677A" w:rsidRDefault="0069677A">
            <w:pPr>
              <w:spacing w:line="256" w:lineRule="auto"/>
              <w:jc w:val="right"/>
            </w:pPr>
            <w:r>
              <w:t>22,777</w:t>
            </w:r>
          </w:p>
        </w:tc>
      </w:tr>
      <w:tr w:rsidR="0069677A" w14:paraId="118F75AB" w14:textId="77777777">
        <w:trPr>
          <w:trHeight w:val="255"/>
        </w:trPr>
        <w:tc>
          <w:tcPr>
            <w:tcW w:w="5402" w:type="dxa"/>
            <w:noWrap/>
            <w:tcMar>
              <w:top w:w="15" w:type="dxa"/>
              <w:left w:w="15" w:type="dxa"/>
              <w:bottom w:w="0" w:type="dxa"/>
              <w:right w:w="15" w:type="dxa"/>
            </w:tcMar>
            <w:vAlign w:val="bottom"/>
            <w:hideMark/>
          </w:tcPr>
          <w:p w14:paraId="523367AA" w14:textId="77777777" w:rsidR="0069677A" w:rsidRDefault="0069677A">
            <w:pPr>
              <w:spacing w:line="256" w:lineRule="auto"/>
            </w:pPr>
            <w:r>
              <w:t>Biological assets</w:t>
            </w:r>
          </w:p>
        </w:tc>
        <w:tc>
          <w:tcPr>
            <w:tcW w:w="1003" w:type="dxa"/>
          </w:tcPr>
          <w:p w14:paraId="191CC591" w14:textId="77777777" w:rsidR="0069677A" w:rsidRDefault="0069677A">
            <w:pPr>
              <w:spacing w:line="256" w:lineRule="auto"/>
            </w:pPr>
          </w:p>
        </w:tc>
        <w:tc>
          <w:tcPr>
            <w:tcW w:w="1003" w:type="dxa"/>
          </w:tcPr>
          <w:p w14:paraId="7FD41939" w14:textId="77777777" w:rsidR="0069677A" w:rsidRDefault="0069677A">
            <w:pPr>
              <w:spacing w:line="256" w:lineRule="auto"/>
              <w:jc w:val="right"/>
              <w:rPr>
                <w:b/>
              </w:rPr>
            </w:pPr>
          </w:p>
        </w:tc>
        <w:tc>
          <w:tcPr>
            <w:tcW w:w="1003" w:type="dxa"/>
            <w:noWrap/>
            <w:tcMar>
              <w:top w:w="15" w:type="dxa"/>
              <w:left w:w="15" w:type="dxa"/>
              <w:bottom w:w="0" w:type="dxa"/>
              <w:right w:w="15" w:type="dxa"/>
            </w:tcMar>
            <w:vAlign w:val="bottom"/>
            <w:hideMark/>
          </w:tcPr>
          <w:p w14:paraId="06D89FD7" w14:textId="77777777" w:rsidR="0069677A" w:rsidRDefault="0069677A">
            <w:pPr>
              <w:spacing w:line="256" w:lineRule="auto"/>
              <w:jc w:val="right"/>
              <w:rPr>
                <w:b/>
              </w:rPr>
            </w:pPr>
            <w:r>
              <w:rPr>
                <w:b/>
              </w:rPr>
              <w:t>770</w:t>
            </w:r>
          </w:p>
        </w:tc>
        <w:tc>
          <w:tcPr>
            <w:tcW w:w="1003" w:type="dxa"/>
            <w:noWrap/>
            <w:tcMar>
              <w:top w:w="15" w:type="dxa"/>
              <w:left w:w="15" w:type="dxa"/>
              <w:bottom w:w="0" w:type="dxa"/>
              <w:right w:w="15" w:type="dxa"/>
            </w:tcMar>
            <w:vAlign w:val="bottom"/>
            <w:hideMark/>
          </w:tcPr>
          <w:p w14:paraId="3F789F99" w14:textId="77777777" w:rsidR="0069677A" w:rsidRDefault="0069677A">
            <w:pPr>
              <w:spacing w:line="256" w:lineRule="auto"/>
              <w:jc w:val="right"/>
            </w:pPr>
            <w:r>
              <w:t>824</w:t>
            </w:r>
          </w:p>
        </w:tc>
      </w:tr>
      <w:tr w:rsidR="0069677A" w14:paraId="4FF76202" w14:textId="77777777">
        <w:trPr>
          <w:trHeight w:val="130"/>
        </w:trPr>
        <w:tc>
          <w:tcPr>
            <w:tcW w:w="5402" w:type="dxa"/>
            <w:noWrap/>
            <w:tcMar>
              <w:top w:w="15" w:type="dxa"/>
              <w:left w:w="15" w:type="dxa"/>
              <w:bottom w:w="0" w:type="dxa"/>
              <w:right w:w="15" w:type="dxa"/>
            </w:tcMar>
            <w:vAlign w:val="bottom"/>
          </w:tcPr>
          <w:p w14:paraId="47A1E6BB" w14:textId="77777777" w:rsidR="0069677A" w:rsidRDefault="0069677A">
            <w:pPr>
              <w:spacing w:line="256" w:lineRule="auto"/>
            </w:pPr>
          </w:p>
        </w:tc>
        <w:tc>
          <w:tcPr>
            <w:tcW w:w="1003" w:type="dxa"/>
          </w:tcPr>
          <w:p w14:paraId="291D63F5" w14:textId="77777777" w:rsidR="0069677A" w:rsidRDefault="0069677A">
            <w:pPr>
              <w:spacing w:line="256" w:lineRule="auto"/>
            </w:pPr>
          </w:p>
        </w:tc>
        <w:tc>
          <w:tcPr>
            <w:tcW w:w="1003" w:type="dxa"/>
          </w:tcPr>
          <w:p w14:paraId="6790878B" w14:textId="77777777" w:rsidR="0069677A" w:rsidRDefault="0069677A">
            <w:pPr>
              <w:spacing w:line="256" w:lineRule="auto"/>
              <w:jc w:val="right"/>
              <w:rPr>
                <w:b/>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14:paraId="2EACBBA9" w14:textId="5957B0DE" w:rsidR="0069677A" w:rsidRDefault="0069677A">
            <w:pPr>
              <w:spacing w:line="256" w:lineRule="auto"/>
              <w:jc w:val="right"/>
              <w:rPr>
                <w:b/>
              </w:rPr>
            </w:pPr>
            <w:r>
              <w:rPr>
                <w:b/>
              </w:rPr>
              <w:t>27,</w:t>
            </w:r>
            <w:r w:rsidR="00E20FB2">
              <w:rPr>
                <w:b/>
              </w:rPr>
              <w:t>275</w:t>
            </w: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14:paraId="33A805E8" w14:textId="77777777" w:rsidR="0069677A" w:rsidRDefault="0069677A">
            <w:pPr>
              <w:spacing w:line="256" w:lineRule="auto"/>
              <w:jc w:val="right"/>
            </w:pPr>
            <w:r>
              <w:t>26,503</w:t>
            </w:r>
          </w:p>
        </w:tc>
      </w:tr>
      <w:tr w:rsidR="0069677A" w14:paraId="3F7B0101" w14:textId="77777777">
        <w:trPr>
          <w:trHeight w:val="255"/>
        </w:trPr>
        <w:tc>
          <w:tcPr>
            <w:tcW w:w="5402" w:type="dxa"/>
            <w:noWrap/>
            <w:tcMar>
              <w:top w:w="15" w:type="dxa"/>
              <w:left w:w="15" w:type="dxa"/>
              <w:bottom w:w="0" w:type="dxa"/>
              <w:right w:w="15" w:type="dxa"/>
            </w:tcMar>
            <w:vAlign w:val="bottom"/>
            <w:hideMark/>
          </w:tcPr>
          <w:p w14:paraId="6077C090" w14:textId="77777777" w:rsidR="0069677A" w:rsidRDefault="0069677A">
            <w:pPr>
              <w:spacing w:line="256" w:lineRule="auto"/>
              <w:rPr>
                <w:b/>
                <w:bCs/>
              </w:rPr>
            </w:pPr>
            <w:r>
              <w:rPr>
                <w:b/>
                <w:bCs/>
              </w:rPr>
              <w:t>Current assets</w:t>
            </w:r>
          </w:p>
        </w:tc>
        <w:tc>
          <w:tcPr>
            <w:tcW w:w="1003" w:type="dxa"/>
          </w:tcPr>
          <w:p w14:paraId="6D234C58" w14:textId="77777777" w:rsidR="0069677A" w:rsidRDefault="0069677A">
            <w:pPr>
              <w:spacing w:line="256" w:lineRule="auto"/>
            </w:pPr>
          </w:p>
        </w:tc>
        <w:tc>
          <w:tcPr>
            <w:tcW w:w="1003" w:type="dxa"/>
          </w:tcPr>
          <w:p w14:paraId="7E34CBB8" w14:textId="77777777" w:rsidR="0069677A" w:rsidRDefault="0069677A">
            <w:pPr>
              <w:spacing w:line="256" w:lineRule="auto"/>
              <w:rPr>
                <w:b/>
              </w:rPr>
            </w:pPr>
          </w:p>
        </w:tc>
        <w:tc>
          <w:tcPr>
            <w:tcW w:w="1003" w:type="dxa"/>
            <w:noWrap/>
            <w:tcMar>
              <w:top w:w="15" w:type="dxa"/>
              <w:left w:w="15" w:type="dxa"/>
              <w:bottom w:w="0" w:type="dxa"/>
              <w:right w:w="15" w:type="dxa"/>
            </w:tcMar>
            <w:vAlign w:val="bottom"/>
          </w:tcPr>
          <w:p w14:paraId="4A784682" w14:textId="77777777" w:rsidR="0069677A" w:rsidRDefault="0069677A">
            <w:pPr>
              <w:spacing w:line="256" w:lineRule="auto"/>
              <w:rPr>
                <w:b/>
              </w:rPr>
            </w:pPr>
          </w:p>
        </w:tc>
        <w:tc>
          <w:tcPr>
            <w:tcW w:w="1003" w:type="dxa"/>
            <w:noWrap/>
            <w:tcMar>
              <w:top w:w="15" w:type="dxa"/>
              <w:left w:w="15" w:type="dxa"/>
              <w:bottom w:w="0" w:type="dxa"/>
              <w:right w:w="15" w:type="dxa"/>
            </w:tcMar>
            <w:vAlign w:val="bottom"/>
          </w:tcPr>
          <w:p w14:paraId="0335BC07" w14:textId="77777777" w:rsidR="0069677A" w:rsidRDefault="0069677A">
            <w:pPr>
              <w:spacing w:line="256" w:lineRule="auto"/>
            </w:pPr>
          </w:p>
        </w:tc>
      </w:tr>
      <w:tr w:rsidR="0069677A" w14:paraId="5C788483" w14:textId="77777777">
        <w:trPr>
          <w:trHeight w:val="255"/>
        </w:trPr>
        <w:tc>
          <w:tcPr>
            <w:tcW w:w="5402" w:type="dxa"/>
            <w:noWrap/>
            <w:tcMar>
              <w:top w:w="15" w:type="dxa"/>
              <w:left w:w="15" w:type="dxa"/>
              <w:bottom w:w="0" w:type="dxa"/>
              <w:right w:w="15" w:type="dxa"/>
            </w:tcMar>
            <w:vAlign w:val="bottom"/>
            <w:hideMark/>
          </w:tcPr>
          <w:p w14:paraId="6CE26080" w14:textId="77777777" w:rsidR="0069677A" w:rsidRDefault="0069677A">
            <w:pPr>
              <w:spacing w:line="256" w:lineRule="auto"/>
            </w:pPr>
            <w:r>
              <w:t>Trade and other receivables</w:t>
            </w:r>
          </w:p>
        </w:tc>
        <w:tc>
          <w:tcPr>
            <w:tcW w:w="1003" w:type="dxa"/>
          </w:tcPr>
          <w:p w14:paraId="439CF6E0" w14:textId="77777777" w:rsidR="0069677A" w:rsidRDefault="0069677A">
            <w:pPr>
              <w:spacing w:line="256" w:lineRule="auto"/>
            </w:pPr>
          </w:p>
        </w:tc>
        <w:tc>
          <w:tcPr>
            <w:tcW w:w="1003" w:type="dxa"/>
          </w:tcPr>
          <w:p w14:paraId="77B7CA43" w14:textId="77777777" w:rsidR="0069677A" w:rsidRDefault="0069677A">
            <w:pPr>
              <w:spacing w:line="256" w:lineRule="auto"/>
              <w:jc w:val="right"/>
              <w:rPr>
                <w:b/>
              </w:rPr>
            </w:pPr>
          </w:p>
        </w:tc>
        <w:tc>
          <w:tcPr>
            <w:tcW w:w="1003" w:type="dxa"/>
            <w:noWrap/>
            <w:tcMar>
              <w:top w:w="15" w:type="dxa"/>
              <w:left w:w="15" w:type="dxa"/>
              <w:bottom w:w="0" w:type="dxa"/>
              <w:right w:w="15" w:type="dxa"/>
            </w:tcMar>
            <w:vAlign w:val="bottom"/>
            <w:hideMark/>
          </w:tcPr>
          <w:p w14:paraId="60D752D7" w14:textId="77777777" w:rsidR="0069677A" w:rsidRDefault="0069677A">
            <w:pPr>
              <w:spacing w:line="256" w:lineRule="auto"/>
              <w:jc w:val="right"/>
              <w:rPr>
                <w:b/>
              </w:rPr>
            </w:pPr>
            <w:r>
              <w:rPr>
                <w:b/>
              </w:rPr>
              <w:t>7,526</w:t>
            </w:r>
          </w:p>
        </w:tc>
        <w:tc>
          <w:tcPr>
            <w:tcW w:w="1003" w:type="dxa"/>
            <w:noWrap/>
            <w:tcMar>
              <w:top w:w="15" w:type="dxa"/>
              <w:left w:w="15" w:type="dxa"/>
              <w:bottom w:w="0" w:type="dxa"/>
              <w:right w:w="15" w:type="dxa"/>
            </w:tcMar>
            <w:vAlign w:val="bottom"/>
            <w:hideMark/>
          </w:tcPr>
          <w:p w14:paraId="3F91EE87" w14:textId="77777777" w:rsidR="0069677A" w:rsidRDefault="0069677A">
            <w:pPr>
              <w:spacing w:line="256" w:lineRule="auto"/>
              <w:jc w:val="right"/>
            </w:pPr>
            <w:r>
              <w:t>6,857</w:t>
            </w:r>
          </w:p>
        </w:tc>
      </w:tr>
      <w:tr w:rsidR="0069677A" w14:paraId="05F66B31" w14:textId="77777777">
        <w:trPr>
          <w:trHeight w:val="255"/>
        </w:trPr>
        <w:tc>
          <w:tcPr>
            <w:tcW w:w="5402" w:type="dxa"/>
            <w:noWrap/>
            <w:tcMar>
              <w:top w:w="15" w:type="dxa"/>
              <w:left w:w="15" w:type="dxa"/>
              <w:bottom w:w="0" w:type="dxa"/>
              <w:right w:w="15" w:type="dxa"/>
            </w:tcMar>
            <w:vAlign w:val="bottom"/>
            <w:hideMark/>
          </w:tcPr>
          <w:p w14:paraId="16807CC5" w14:textId="77777777" w:rsidR="0069677A" w:rsidRDefault="0069677A">
            <w:pPr>
              <w:spacing w:line="256" w:lineRule="auto"/>
            </w:pPr>
            <w:r>
              <w:t>Inventories</w:t>
            </w:r>
          </w:p>
        </w:tc>
        <w:tc>
          <w:tcPr>
            <w:tcW w:w="1003" w:type="dxa"/>
          </w:tcPr>
          <w:p w14:paraId="5A3F499D" w14:textId="77777777" w:rsidR="0069677A" w:rsidRDefault="0069677A">
            <w:pPr>
              <w:spacing w:line="256" w:lineRule="auto"/>
            </w:pPr>
          </w:p>
        </w:tc>
        <w:tc>
          <w:tcPr>
            <w:tcW w:w="1003" w:type="dxa"/>
          </w:tcPr>
          <w:p w14:paraId="48F7E0C7" w14:textId="77777777" w:rsidR="0069677A" w:rsidRDefault="0069677A">
            <w:pPr>
              <w:spacing w:line="256" w:lineRule="auto"/>
              <w:jc w:val="right"/>
              <w:rPr>
                <w:b/>
              </w:rPr>
            </w:pPr>
          </w:p>
        </w:tc>
        <w:tc>
          <w:tcPr>
            <w:tcW w:w="1003" w:type="dxa"/>
            <w:noWrap/>
            <w:tcMar>
              <w:top w:w="15" w:type="dxa"/>
              <w:left w:w="15" w:type="dxa"/>
              <w:bottom w:w="0" w:type="dxa"/>
              <w:right w:w="15" w:type="dxa"/>
            </w:tcMar>
            <w:vAlign w:val="bottom"/>
            <w:hideMark/>
          </w:tcPr>
          <w:p w14:paraId="68771CD7" w14:textId="35BBF977" w:rsidR="0069677A" w:rsidRDefault="00E20FB2">
            <w:pPr>
              <w:spacing w:line="256" w:lineRule="auto"/>
              <w:jc w:val="right"/>
              <w:rPr>
                <w:b/>
              </w:rPr>
            </w:pPr>
            <w:r>
              <w:rPr>
                <w:b/>
              </w:rPr>
              <w:t>58</w:t>
            </w:r>
          </w:p>
        </w:tc>
        <w:tc>
          <w:tcPr>
            <w:tcW w:w="1003" w:type="dxa"/>
            <w:noWrap/>
            <w:tcMar>
              <w:top w:w="15" w:type="dxa"/>
              <w:left w:w="15" w:type="dxa"/>
              <w:bottom w:w="0" w:type="dxa"/>
              <w:right w:w="15" w:type="dxa"/>
            </w:tcMar>
            <w:vAlign w:val="bottom"/>
            <w:hideMark/>
          </w:tcPr>
          <w:p w14:paraId="3C9A492F" w14:textId="77777777" w:rsidR="0069677A" w:rsidRDefault="0069677A">
            <w:pPr>
              <w:spacing w:line="256" w:lineRule="auto"/>
              <w:jc w:val="right"/>
            </w:pPr>
            <w:r>
              <w:t>1,105</w:t>
            </w:r>
          </w:p>
        </w:tc>
      </w:tr>
      <w:tr w:rsidR="0069677A" w14:paraId="21E442BA" w14:textId="77777777">
        <w:trPr>
          <w:trHeight w:val="255"/>
        </w:trPr>
        <w:tc>
          <w:tcPr>
            <w:tcW w:w="5402" w:type="dxa"/>
            <w:noWrap/>
            <w:tcMar>
              <w:top w:w="15" w:type="dxa"/>
              <w:left w:w="15" w:type="dxa"/>
              <w:bottom w:w="0" w:type="dxa"/>
              <w:right w:w="15" w:type="dxa"/>
            </w:tcMar>
            <w:vAlign w:val="bottom"/>
            <w:hideMark/>
          </w:tcPr>
          <w:p w14:paraId="597AE57B" w14:textId="77777777" w:rsidR="0069677A" w:rsidRDefault="0069677A">
            <w:pPr>
              <w:spacing w:line="256" w:lineRule="auto"/>
            </w:pPr>
            <w:r>
              <w:t>Cash and cash equivalents</w:t>
            </w:r>
          </w:p>
        </w:tc>
        <w:tc>
          <w:tcPr>
            <w:tcW w:w="1003" w:type="dxa"/>
          </w:tcPr>
          <w:p w14:paraId="5AC27FBE" w14:textId="77777777" w:rsidR="0069677A" w:rsidRDefault="0069677A">
            <w:pPr>
              <w:spacing w:line="256" w:lineRule="auto"/>
            </w:pPr>
          </w:p>
        </w:tc>
        <w:tc>
          <w:tcPr>
            <w:tcW w:w="1003" w:type="dxa"/>
          </w:tcPr>
          <w:p w14:paraId="72AB709D" w14:textId="77777777" w:rsidR="0069677A" w:rsidRDefault="0069677A">
            <w:pPr>
              <w:spacing w:line="256" w:lineRule="auto"/>
              <w:jc w:val="right"/>
              <w:rPr>
                <w:b/>
              </w:rPr>
            </w:pPr>
          </w:p>
        </w:tc>
        <w:tc>
          <w:tcPr>
            <w:tcW w:w="1003" w:type="dxa"/>
            <w:noWrap/>
            <w:tcMar>
              <w:top w:w="15" w:type="dxa"/>
              <w:left w:w="15" w:type="dxa"/>
              <w:bottom w:w="0" w:type="dxa"/>
              <w:right w:w="15" w:type="dxa"/>
            </w:tcMar>
            <w:vAlign w:val="bottom"/>
            <w:hideMark/>
          </w:tcPr>
          <w:p w14:paraId="360C3A03" w14:textId="77777777" w:rsidR="0069677A" w:rsidRDefault="0069677A">
            <w:pPr>
              <w:spacing w:line="256" w:lineRule="auto"/>
              <w:jc w:val="right"/>
              <w:rPr>
                <w:b/>
              </w:rPr>
            </w:pPr>
            <w:r>
              <w:rPr>
                <w:b/>
              </w:rPr>
              <w:t>1,550</w:t>
            </w:r>
          </w:p>
        </w:tc>
        <w:tc>
          <w:tcPr>
            <w:tcW w:w="1003" w:type="dxa"/>
            <w:noWrap/>
            <w:tcMar>
              <w:top w:w="15" w:type="dxa"/>
              <w:left w:w="15" w:type="dxa"/>
              <w:bottom w:w="0" w:type="dxa"/>
              <w:right w:w="15" w:type="dxa"/>
            </w:tcMar>
            <w:vAlign w:val="bottom"/>
            <w:hideMark/>
          </w:tcPr>
          <w:p w14:paraId="0E1A4C0D" w14:textId="77777777" w:rsidR="0069677A" w:rsidRDefault="0069677A">
            <w:pPr>
              <w:spacing w:line="256" w:lineRule="auto"/>
              <w:jc w:val="right"/>
            </w:pPr>
            <w:r>
              <w:t>1,054</w:t>
            </w:r>
          </w:p>
        </w:tc>
      </w:tr>
      <w:tr w:rsidR="0069677A" w14:paraId="56F73062" w14:textId="77777777">
        <w:trPr>
          <w:trHeight w:val="255"/>
        </w:trPr>
        <w:tc>
          <w:tcPr>
            <w:tcW w:w="5402" w:type="dxa"/>
            <w:noWrap/>
            <w:tcMar>
              <w:top w:w="15" w:type="dxa"/>
              <w:left w:w="15" w:type="dxa"/>
              <w:bottom w:w="0" w:type="dxa"/>
              <w:right w:w="15" w:type="dxa"/>
            </w:tcMar>
            <w:vAlign w:val="bottom"/>
            <w:hideMark/>
          </w:tcPr>
          <w:p w14:paraId="4CE08F4B" w14:textId="77777777" w:rsidR="0069677A" w:rsidRDefault="0069677A">
            <w:pPr>
              <w:spacing w:line="256" w:lineRule="auto"/>
            </w:pPr>
            <w:r>
              <w:t>Assets of disposal group classified as held for sale</w:t>
            </w:r>
          </w:p>
        </w:tc>
        <w:tc>
          <w:tcPr>
            <w:tcW w:w="1003" w:type="dxa"/>
          </w:tcPr>
          <w:p w14:paraId="5DE61326" w14:textId="77777777" w:rsidR="0069677A" w:rsidRDefault="0069677A">
            <w:pPr>
              <w:spacing w:line="256" w:lineRule="auto"/>
            </w:pPr>
          </w:p>
        </w:tc>
        <w:tc>
          <w:tcPr>
            <w:tcW w:w="1003" w:type="dxa"/>
          </w:tcPr>
          <w:p w14:paraId="5E799004" w14:textId="77777777" w:rsidR="0069677A" w:rsidRDefault="0069677A">
            <w:pPr>
              <w:spacing w:line="256" w:lineRule="auto"/>
              <w:jc w:val="right"/>
              <w:rPr>
                <w:b/>
              </w:rPr>
            </w:pPr>
          </w:p>
        </w:tc>
        <w:tc>
          <w:tcPr>
            <w:tcW w:w="1003" w:type="dxa"/>
            <w:noWrap/>
            <w:tcMar>
              <w:top w:w="15" w:type="dxa"/>
              <w:left w:w="15" w:type="dxa"/>
              <w:bottom w:w="0" w:type="dxa"/>
              <w:right w:w="15" w:type="dxa"/>
            </w:tcMar>
            <w:vAlign w:val="bottom"/>
            <w:hideMark/>
          </w:tcPr>
          <w:p w14:paraId="7896C2EA" w14:textId="77777777" w:rsidR="0069677A" w:rsidRDefault="0069677A">
            <w:pPr>
              <w:spacing w:line="256" w:lineRule="auto"/>
              <w:jc w:val="right"/>
              <w:rPr>
                <w:b/>
              </w:rPr>
            </w:pPr>
            <w:r>
              <w:rPr>
                <w:b/>
              </w:rPr>
              <w:t>381</w:t>
            </w:r>
          </w:p>
        </w:tc>
        <w:tc>
          <w:tcPr>
            <w:tcW w:w="1003" w:type="dxa"/>
            <w:noWrap/>
            <w:tcMar>
              <w:top w:w="15" w:type="dxa"/>
              <w:left w:w="15" w:type="dxa"/>
              <w:bottom w:w="0" w:type="dxa"/>
              <w:right w:w="15" w:type="dxa"/>
            </w:tcMar>
            <w:vAlign w:val="bottom"/>
            <w:hideMark/>
          </w:tcPr>
          <w:p w14:paraId="4AC08690" w14:textId="77777777" w:rsidR="0069677A" w:rsidRDefault="0069677A">
            <w:pPr>
              <w:spacing w:line="256" w:lineRule="auto"/>
              <w:jc w:val="right"/>
            </w:pPr>
            <w:r>
              <w:t>277</w:t>
            </w:r>
          </w:p>
        </w:tc>
      </w:tr>
      <w:tr w:rsidR="0069677A" w14:paraId="74FA21C1" w14:textId="77777777">
        <w:trPr>
          <w:trHeight w:val="255"/>
        </w:trPr>
        <w:tc>
          <w:tcPr>
            <w:tcW w:w="5402" w:type="dxa"/>
            <w:noWrap/>
            <w:tcMar>
              <w:top w:w="15" w:type="dxa"/>
              <w:left w:w="15" w:type="dxa"/>
              <w:bottom w:w="0" w:type="dxa"/>
              <w:right w:w="15" w:type="dxa"/>
            </w:tcMar>
            <w:vAlign w:val="bottom"/>
          </w:tcPr>
          <w:p w14:paraId="6407F2EC" w14:textId="77777777" w:rsidR="0069677A" w:rsidRDefault="0069677A">
            <w:pPr>
              <w:spacing w:line="256" w:lineRule="auto"/>
              <w:rPr>
                <w:b/>
              </w:rPr>
            </w:pPr>
          </w:p>
        </w:tc>
        <w:tc>
          <w:tcPr>
            <w:tcW w:w="1003" w:type="dxa"/>
          </w:tcPr>
          <w:p w14:paraId="1FFF20FA" w14:textId="77777777" w:rsidR="0069677A" w:rsidRDefault="0069677A">
            <w:pPr>
              <w:spacing w:line="256" w:lineRule="auto"/>
            </w:pPr>
          </w:p>
        </w:tc>
        <w:tc>
          <w:tcPr>
            <w:tcW w:w="1003" w:type="dxa"/>
          </w:tcPr>
          <w:p w14:paraId="19A0D71D" w14:textId="77777777" w:rsidR="0069677A" w:rsidRDefault="0069677A">
            <w:pPr>
              <w:spacing w:line="256" w:lineRule="auto"/>
              <w:jc w:val="right"/>
              <w:rPr>
                <w:b/>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14:paraId="4A69212B" w14:textId="05C91F7F" w:rsidR="0069677A" w:rsidRDefault="0069677A">
            <w:pPr>
              <w:spacing w:line="256" w:lineRule="auto"/>
              <w:jc w:val="right"/>
              <w:rPr>
                <w:b/>
              </w:rPr>
            </w:pPr>
            <w:r>
              <w:rPr>
                <w:b/>
              </w:rPr>
              <w:t>9,</w:t>
            </w:r>
            <w:r w:rsidR="00E20FB2">
              <w:rPr>
                <w:b/>
              </w:rPr>
              <w:t>515</w:t>
            </w: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14:paraId="3E2A39D9" w14:textId="77777777" w:rsidR="0069677A" w:rsidRDefault="0069677A">
            <w:pPr>
              <w:spacing w:line="256" w:lineRule="auto"/>
              <w:jc w:val="right"/>
            </w:pPr>
            <w:r>
              <w:t>9,293</w:t>
            </w:r>
          </w:p>
        </w:tc>
      </w:tr>
      <w:tr w:rsidR="0069677A" w14:paraId="01157FD3" w14:textId="77777777">
        <w:trPr>
          <w:trHeight w:val="186"/>
        </w:trPr>
        <w:tc>
          <w:tcPr>
            <w:tcW w:w="5402" w:type="dxa"/>
            <w:noWrap/>
            <w:tcMar>
              <w:top w:w="15" w:type="dxa"/>
              <w:left w:w="15" w:type="dxa"/>
              <w:bottom w:w="0" w:type="dxa"/>
              <w:right w:w="15" w:type="dxa"/>
            </w:tcMar>
            <w:vAlign w:val="bottom"/>
          </w:tcPr>
          <w:p w14:paraId="3AEDE6D8" w14:textId="77777777" w:rsidR="0069677A" w:rsidRDefault="0069677A">
            <w:pPr>
              <w:spacing w:line="256" w:lineRule="auto"/>
              <w:rPr>
                <w:b/>
              </w:rPr>
            </w:pPr>
          </w:p>
        </w:tc>
        <w:tc>
          <w:tcPr>
            <w:tcW w:w="1003" w:type="dxa"/>
          </w:tcPr>
          <w:p w14:paraId="53BDBE84" w14:textId="77777777" w:rsidR="0069677A" w:rsidRDefault="0069677A">
            <w:pPr>
              <w:spacing w:line="256" w:lineRule="auto"/>
              <w:rPr>
                <w:sz w:val="22"/>
                <w:szCs w:val="22"/>
              </w:rPr>
            </w:pPr>
          </w:p>
        </w:tc>
        <w:tc>
          <w:tcPr>
            <w:tcW w:w="1003" w:type="dxa"/>
          </w:tcPr>
          <w:p w14:paraId="3142A3D2" w14:textId="77777777" w:rsidR="0069677A" w:rsidRDefault="0069677A">
            <w:pPr>
              <w:spacing w:line="256" w:lineRule="auto"/>
              <w:jc w:val="right"/>
              <w:rPr>
                <w:b/>
                <w:sz w:val="22"/>
                <w:szCs w:val="22"/>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64938F45" w14:textId="77777777" w:rsidR="0069677A" w:rsidRDefault="0069677A">
            <w:pPr>
              <w:spacing w:line="256" w:lineRule="auto"/>
              <w:jc w:val="right"/>
              <w:rPr>
                <w:b/>
                <w:sz w:val="22"/>
                <w:szCs w:val="22"/>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0BEC3E0F" w14:textId="77777777" w:rsidR="0069677A" w:rsidRDefault="0069677A">
            <w:pPr>
              <w:spacing w:line="256" w:lineRule="auto"/>
              <w:jc w:val="right"/>
              <w:rPr>
                <w:sz w:val="22"/>
                <w:szCs w:val="22"/>
              </w:rPr>
            </w:pPr>
          </w:p>
        </w:tc>
      </w:tr>
      <w:tr w:rsidR="0069677A" w14:paraId="5E048CB0" w14:textId="77777777">
        <w:trPr>
          <w:trHeight w:val="255"/>
        </w:trPr>
        <w:tc>
          <w:tcPr>
            <w:tcW w:w="5402" w:type="dxa"/>
            <w:noWrap/>
            <w:tcMar>
              <w:top w:w="15" w:type="dxa"/>
              <w:left w:w="15" w:type="dxa"/>
              <w:bottom w:w="0" w:type="dxa"/>
              <w:right w:w="15" w:type="dxa"/>
            </w:tcMar>
            <w:vAlign w:val="bottom"/>
            <w:hideMark/>
          </w:tcPr>
          <w:p w14:paraId="30D561DF" w14:textId="77777777" w:rsidR="0069677A" w:rsidRDefault="0069677A">
            <w:pPr>
              <w:spacing w:line="256" w:lineRule="auto"/>
              <w:rPr>
                <w:b/>
              </w:rPr>
            </w:pPr>
            <w:r>
              <w:rPr>
                <w:b/>
              </w:rPr>
              <w:t>TOTAL ASSETS</w:t>
            </w:r>
          </w:p>
        </w:tc>
        <w:tc>
          <w:tcPr>
            <w:tcW w:w="1003" w:type="dxa"/>
          </w:tcPr>
          <w:p w14:paraId="051885E7" w14:textId="77777777" w:rsidR="0069677A" w:rsidRDefault="0069677A">
            <w:pPr>
              <w:spacing w:line="256" w:lineRule="auto"/>
            </w:pPr>
          </w:p>
        </w:tc>
        <w:tc>
          <w:tcPr>
            <w:tcW w:w="1003" w:type="dxa"/>
          </w:tcPr>
          <w:p w14:paraId="18D59E63" w14:textId="77777777" w:rsidR="0069677A" w:rsidRDefault="0069677A">
            <w:pPr>
              <w:spacing w:line="256" w:lineRule="auto"/>
              <w:jc w:val="right"/>
              <w:rPr>
                <w:b/>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14:paraId="562A0548" w14:textId="77777777" w:rsidR="0069677A" w:rsidRDefault="0069677A">
            <w:pPr>
              <w:spacing w:line="256" w:lineRule="auto"/>
              <w:jc w:val="right"/>
              <w:rPr>
                <w:b/>
              </w:rPr>
            </w:pPr>
            <w:r>
              <w:rPr>
                <w:b/>
              </w:rPr>
              <w:t>36,790</w:t>
            </w: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14:paraId="25197E07" w14:textId="77777777" w:rsidR="0069677A" w:rsidRDefault="0069677A">
            <w:pPr>
              <w:spacing w:line="256" w:lineRule="auto"/>
              <w:jc w:val="right"/>
            </w:pPr>
            <w:r>
              <w:t>35,796</w:t>
            </w:r>
          </w:p>
        </w:tc>
      </w:tr>
      <w:tr w:rsidR="0069677A" w14:paraId="62D706C6" w14:textId="77777777">
        <w:trPr>
          <w:trHeight w:val="142"/>
        </w:trPr>
        <w:tc>
          <w:tcPr>
            <w:tcW w:w="5402" w:type="dxa"/>
            <w:noWrap/>
            <w:tcMar>
              <w:top w:w="15" w:type="dxa"/>
              <w:left w:w="15" w:type="dxa"/>
              <w:bottom w:w="0" w:type="dxa"/>
              <w:right w:w="15" w:type="dxa"/>
            </w:tcMar>
            <w:vAlign w:val="bottom"/>
          </w:tcPr>
          <w:p w14:paraId="6F9613FA" w14:textId="77777777" w:rsidR="0069677A" w:rsidRDefault="0069677A">
            <w:pPr>
              <w:spacing w:line="256" w:lineRule="auto"/>
              <w:rPr>
                <w:b/>
              </w:rPr>
            </w:pPr>
          </w:p>
        </w:tc>
        <w:tc>
          <w:tcPr>
            <w:tcW w:w="1003" w:type="dxa"/>
          </w:tcPr>
          <w:p w14:paraId="6B894811" w14:textId="77777777" w:rsidR="0069677A" w:rsidRDefault="0069677A">
            <w:pPr>
              <w:spacing w:line="256" w:lineRule="auto"/>
              <w:rPr>
                <w:sz w:val="22"/>
                <w:szCs w:val="22"/>
              </w:rPr>
            </w:pPr>
          </w:p>
        </w:tc>
        <w:tc>
          <w:tcPr>
            <w:tcW w:w="1003" w:type="dxa"/>
          </w:tcPr>
          <w:p w14:paraId="0C9EA3E6" w14:textId="77777777" w:rsidR="0069677A" w:rsidRDefault="0069677A">
            <w:pPr>
              <w:spacing w:line="256" w:lineRule="auto"/>
              <w:jc w:val="right"/>
              <w:rPr>
                <w:b/>
                <w:sz w:val="22"/>
                <w:szCs w:val="22"/>
              </w:rPr>
            </w:pPr>
          </w:p>
        </w:tc>
        <w:tc>
          <w:tcPr>
            <w:tcW w:w="1003" w:type="dxa"/>
            <w:tcBorders>
              <w:top w:val="single" w:sz="4" w:space="0" w:color="auto"/>
              <w:left w:val="nil"/>
              <w:bottom w:val="nil"/>
              <w:right w:val="nil"/>
            </w:tcBorders>
            <w:noWrap/>
            <w:tcMar>
              <w:top w:w="15" w:type="dxa"/>
              <w:left w:w="15" w:type="dxa"/>
              <w:bottom w:w="0" w:type="dxa"/>
              <w:right w:w="15" w:type="dxa"/>
            </w:tcMar>
            <w:vAlign w:val="bottom"/>
          </w:tcPr>
          <w:p w14:paraId="3D025B70" w14:textId="77777777" w:rsidR="0069677A" w:rsidRDefault="0069677A">
            <w:pPr>
              <w:spacing w:line="256" w:lineRule="auto"/>
              <w:jc w:val="right"/>
              <w:rPr>
                <w:b/>
                <w:sz w:val="22"/>
                <w:szCs w:val="22"/>
              </w:rPr>
            </w:pPr>
          </w:p>
        </w:tc>
        <w:tc>
          <w:tcPr>
            <w:tcW w:w="1003" w:type="dxa"/>
            <w:tcBorders>
              <w:top w:val="single" w:sz="4" w:space="0" w:color="auto"/>
              <w:left w:val="nil"/>
              <w:bottom w:val="nil"/>
              <w:right w:val="nil"/>
            </w:tcBorders>
            <w:noWrap/>
            <w:tcMar>
              <w:top w:w="15" w:type="dxa"/>
              <w:left w:w="15" w:type="dxa"/>
              <w:bottom w:w="0" w:type="dxa"/>
              <w:right w:w="15" w:type="dxa"/>
            </w:tcMar>
            <w:vAlign w:val="bottom"/>
          </w:tcPr>
          <w:p w14:paraId="1E7AA9F6" w14:textId="77777777" w:rsidR="0069677A" w:rsidRDefault="0069677A">
            <w:pPr>
              <w:spacing w:line="256" w:lineRule="auto"/>
              <w:jc w:val="right"/>
              <w:rPr>
                <w:sz w:val="22"/>
                <w:szCs w:val="22"/>
              </w:rPr>
            </w:pPr>
          </w:p>
        </w:tc>
      </w:tr>
      <w:tr w:rsidR="0069677A" w14:paraId="7F667D72" w14:textId="77777777">
        <w:trPr>
          <w:trHeight w:val="255"/>
        </w:trPr>
        <w:tc>
          <w:tcPr>
            <w:tcW w:w="5402" w:type="dxa"/>
            <w:noWrap/>
            <w:tcMar>
              <w:top w:w="15" w:type="dxa"/>
              <w:left w:w="15" w:type="dxa"/>
              <w:bottom w:w="0" w:type="dxa"/>
              <w:right w:w="15" w:type="dxa"/>
            </w:tcMar>
            <w:vAlign w:val="bottom"/>
            <w:hideMark/>
          </w:tcPr>
          <w:p w14:paraId="6E2BD3E9" w14:textId="77777777" w:rsidR="0069677A" w:rsidRDefault="0069677A">
            <w:pPr>
              <w:spacing w:line="256" w:lineRule="auto"/>
              <w:rPr>
                <w:b/>
              </w:rPr>
            </w:pPr>
            <w:r>
              <w:rPr>
                <w:b/>
              </w:rPr>
              <w:t>Equity attributable to owners of the parent</w:t>
            </w:r>
          </w:p>
        </w:tc>
        <w:tc>
          <w:tcPr>
            <w:tcW w:w="1003" w:type="dxa"/>
          </w:tcPr>
          <w:p w14:paraId="226D86C2" w14:textId="77777777" w:rsidR="0069677A" w:rsidRDefault="0069677A">
            <w:pPr>
              <w:spacing w:line="256" w:lineRule="auto"/>
            </w:pPr>
          </w:p>
        </w:tc>
        <w:tc>
          <w:tcPr>
            <w:tcW w:w="1003" w:type="dxa"/>
          </w:tcPr>
          <w:p w14:paraId="5ED796B8" w14:textId="77777777" w:rsidR="0069677A" w:rsidRDefault="0069677A">
            <w:pPr>
              <w:spacing w:line="256" w:lineRule="auto"/>
              <w:jc w:val="right"/>
              <w:rPr>
                <w:b/>
              </w:rPr>
            </w:pPr>
          </w:p>
        </w:tc>
        <w:tc>
          <w:tcPr>
            <w:tcW w:w="1003" w:type="dxa"/>
            <w:noWrap/>
            <w:tcMar>
              <w:top w:w="15" w:type="dxa"/>
              <w:left w:w="15" w:type="dxa"/>
              <w:bottom w:w="0" w:type="dxa"/>
              <w:right w:w="15" w:type="dxa"/>
            </w:tcMar>
            <w:vAlign w:val="bottom"/>
          </w:tcPr>
          <w:p w14:paraId="0FBDED4F" w14:textId="77777777" w:rsidR="0069677A" w:rsidRDefault="0069677A">
            <w:pPr>
              <w:spacing w:line="256" w:lineRule="auto"/>
              <w:jc w:val="right"/>
              <w:rPr>
                <w:b/>
              </w:rPr>
            </w:pPr>
          </w:p>
        </w:tc>
        <w:tc>
          <w:tcPr>
            <w:tcW w:w="1003" w:type="dxa"/>
            <w:noWrap/>
            <w:tcMar>
              <w:top w:w="15" w:type="dxa"/>
              <w:left w:w="15" w:type="dxa"/>
              <w:bottom w:w="0" w:type="dxa"/>
              <w:right w:w="15" w:type="dxa"/>
            </w:tcMar>
            <w:vAlign w:val="bottom"/>
          </w:tcPr>
          <w:p w14:paraId="0445A8B9" w14:textId="77777777" w:rsidR="0069677A" w:rsidRDefault="0069677A">
            <w:pPr>
              <w:spacing w:line="256" w:lineRule="auto"/>
              <w:jc w:val="right"/>
            </w:pPr>
          </w:p>
        </w:tc>
      </w:tr>
      <w:tr w:rsidR="0069677A" w14:paraId="35AA46C7" w14:textId="77777777">
        <w:trPr>
          <w:trHeight w:val="255"/>
        </w:trPr>
        <w:tc>
          <w:tcPr>
            <w:tcW w:w="5402" w:type="dxa"/>
            <w:noWrap/>
            <w:tcMar>
              <w:top w:w="15" w:type="dxa"/>
              <w:left w:w="15" w:type="dxa"/>
              <w:bottom w:w="0" w:type="dxa"/>
              <w:right w:w="15" w:type="dxa"/>
            </w:tcMar>
            <w:vAlign w:val="bottom"/>
            <w:hideMark/>
          </w:tcPr>
          <w:p w14:paraId="19E7801E" w14:textId="77777777" w:rsidR="0069677A" w:rsidRDefault="0069677A">
            <w:pPr>
              <w:spacing w:line="256" w:lineRule="auto"/>
            </w:pPr>
            <w:r>
              <w:t>Share capital</w:t>
            </w:r>
          </w:p>
        </w:tc>
        <w:tc>
          <w:tcPr>
            <w:tcW w:w="1003" w:type="dxa"/>
          </w:tcPr>
          <w:p w14:paraId="612AC28F" w14:textId="77777777" w:rsidR="0069677A" w:rsidRDefault="0069677A">
            <w:pPr>
              <w:spacing w:line="256" w:lineRule="auto"/>
            </w:pPr>
          </w:p>
        </w:tc>
        <w:tc>
          <w:tcPr>
            <w:tcW w:w="1003" w:type="dxa"/>
          </w:tcPr>
          <w:p w14:paraId="4076C29D" w14:textId="77777777" w:rsidR="0069677A" w:rsidRDefault="0069677A">
            <w:pPr>
              <w:spacing w:line="256" w:lineRule="auto"/>
              <w:jc w:val="right"/>
              <w:rPr>
                <w:b/>
              </w:rPr>
            </w:pPr>
          </w:p>
        </w:tc>
        <w:tc>
          <w:tcPr>
            <w:tcW w:w="1003" w:type="dxa"/>
            <w:noWrap/>
            <w:tcMar>
              <w:top w:w="15" w:type="dxa"/>
              <w:left w:w="15" w:type="dxa"/>
              <w:bottom w:w="0" w:type="dxa"/>
              <w:right w:w="15" w:type="dxa"/>
            </w:tcMar>
            <w:vAlign w:val="bottom"/>
            <w:hideMark/>
          </w:tcPr>
          <w:p w14:paraId="2714D2A2" w14:textId="77777777" w:rsidR="0069677A" w:rsidRDefault="0069677A">
            <w:pPr>
              <w:spacing w:line="256" w:lineRule="auto"/>
              <w:jc w:val="right"/>
              <w:rPr>
                <w:b/>
              </w:rPr>
            </w:pPr>
            <w:r>
              <w:rPr>
                <w:b/>
              </w:rPr>
              <w:t>5,640</w:t>
            </w:r>
          </w:p>
        </w:tc>
        <w:tc>
          <w:tcPr>
            <w:tcW w:w="1003" w:type="dxa"/>
            <w:noWrap/>
            <w:tcMar>
              <w:top w:w="15" w:type="dxa"/>
              <w:left w:w="15" w:type="dxa"/>
              <w:bottom w:w="0" w:type="dxa"/>
              <w:right w:w="15" w:type="dxa"/>
            </w:tcMar>
            <w:vAlign w:val="bottom"/>
            <w:hideMark/>
          </w:tcPr>
          <w:p w14:paraId="64E16345" w14:textId="77777777" w:rsidR="0069677A" w:rsidRDefault="0069677A">
            <w:pPr>
              <w:spacing w:line="256" w:lineRule="auto"/>
              <w:jc w:val="right"/>
            </w:pPr>
            <w:r>
              <w:t>5,640</w:t>
            </w:r>
          </w:p>
        </w:tc>
      </w:tr>
      <w:tr w:rsidR="0069677A" w14:paraId="5ACAAD89" w14:textId="77777777">
        <w:trPr>
          <w:trHeight w:val="255"/>
        </w:trPr>
        <w:tc>
          <w:tcPr>
            <w:tcW w:w="5402" w:type="dxa"/>
            <w:noWrap/>
            <w:tcMar>
              <w:top w:w="15" w:type="dxa"/>
              <w:left w:w="15" w:type="dxa"/>
              <w:bottom w:w="0" w:type="dxa"/>
              <w:right w:w="15" w:type="dxa"/>
            </w:tcMar>
            <w:vAlign w:val="bottom"/>
            <w:hideMark/>
          </w:tcPr>
          <w:p w14:paraId="606A0BAB" w14:textId="77777777" w:rsidR="0069677A" w:rsidRDefault="0069677A">
            <w:pPr>
              <w:spacing w:line="256" w:lineRule="auto"/>
            </w:pPr>
            <w:r>
              <w:t>Share premium account</w:t>
            </w:r>
          </w:p>
        </w:tc>
        <w:tc>
          <w:tcPr>
            <w:tcW w:w="1003" w:type="dxa"/>
          </w:tcPr>
          <w:p w14:paraId="5F4E94FB" w14:textId="77777777" w:rsidR="0069677A" w:rsidRDefault="0069677A">
            <w:pPr>
              <w:spacing w:line="256" w:lineRule="auto"/>
            </w:pPr>
          </w:p>
        </w:tc>
        <w:tc>
          <w:tcPr>
            <w:tcW w:w="1003" w:type="dxa"/>
          </w:tcPr>
          <w:p w14:paraId="64B656AB" w14:textId="77777777" w:rsidR="0069677A" w:rsidRDefault="0069677A">
            <w:pPr>
              <w:spacing w:line="256" w:lineRule="auto"/>
              <w:jc w:val="right"/>
              <w:rPr>
                <w:b/>
              </w:rPr>
            </w:pPr>
          </w:p>
        </w:tc>
        <w:tc>
          <w:tcPr>
            <w:tcW w:w="1003" w:type="dxa"/>
            <w:noWrap/>
            <w:tcMar>
              <w:top w:w="15" w:type="dxa"/>
              <w:left w:w="15" w:type="dxa"/>
              <w:bottom w:w="0" w:type="dxa"/>
              <w:right w:w="15" w:type="dxa"/>
            </w:tcMar>
            <w:vAlign w:val="bottom"/>
            <w:hideMark/>
          </w:tcPr>
          <w:p w14:paraId="4227D721" w14:textId="77777777" w:rsidR="0069677A" w:rsidRDefault="0069677A">
            <w:pPr>
              <w:spacing w:line="256" w:lineRule="auto"/>
              <w:jc w:val="right"/>
              <w:rPr>
                <w:b/>
              </w:rPr>
            </w:pPr>
            <w:r>
              <w:rPr>
                <w:b/>
              </w:rPr>
              <w:t>7,321</w:t>
            </w:r>
          </w:p>
        </w:tc>
        <w:tc>
          <w:tcPr>
            <w:tcW w:w="1003" w:type="dxa"/>
            <w:noWrap/>
            <w:tcMar>
              <w:top w:w="15" w:type="dxa"/>
              <w:left w:w="15" w:type="dxa"/>
              <w:bottom w:w="0" w:type="dxa"/>
              <w:right w:w="15" w:type="dxa"/>
            </w:tcMar>
            <w:vAlign w:val="bottom"/>
            <w:hideMark/>
          </w:tcPr>
          <w:p w14:paraId="0D74F43E" w14:textId="77777777" w:rsidR="0069677A" w:rsidRDefault="0069677A">
            <w:pPr>
              <w:spacing w:line="256" w:lineRule="auto"/>
              <w:jc w:val="right"/>
            </w:pPr>
            <w:r>
              <w:t>7,321</w:t>
            </w:r>
          </w:p>
        </w:tc>
      </w:tr>
      <w:tr w:rsidR="0069677A" w14:paraId="3E4825AF" w14:textId="77777777">
        <w:trPr>
          <w:trHeight w:val="255"/>
        </w:trPr>
        <w:tc>
          <w:tcPr>
            <w:tcW w:w="5402" w:type="dxa"/>
            <w:noWrap/>
            <w:tcMar>
              <w:top w:w="15" w:type="dxa"/>
              <w:left w:w="15" w:type="dxa"/>
              <w:bottom w:w="0" w:type="dxa"/>
              <w:right w:w="15" w:type="dxa"/>
            </w:tcMar>
            <w:vAlign w:val="bottom"/>
            <w:hideMark/>
          </w:tcPr>
          <w:p w14:paraId="2C7057C2" w14:textId="77777777" w:rsidR="0069677A" w:rsidRDefault="0069677A">
            <w:pPr>
              <w:spacing w:line="256" w:lineRule="auto"/>
            </w:pPr>
            <w:r>
              <w:t>Other reserves</w:t>
            </w:r>
          </w:p>
        </w:tc>
        <w:tc>
          <w:tcPr>
            <w:tcW w:w="1003" w:type="dxa"/>
          </w:tcPr>
          <w:p w14:paraId="6CE37209" w14:textId="77777777" w:rsidR="0069677A" w:rsidRDefault="0069677A">
            <w:pPr>
              <w:spacing w:line="256" w:lineRule="auto"/>
            </w:pPr>
          </w:p>
        </w:tc>
        <w:tc>
          <w:tcPr>
            <w:tcW w:w="1003" w:type="dxa"/>
          </w:tcPr>
          <w:p w14:paraId="6C9AA4D3" w14:textId="77777777" w:rsidR="0069677A" w:rsidRDefault="0069677A">
            <w:pPr>
              <w:spacing w:line="256" w:lineRule="auto"/>
              <w:jc w:val="right"/>
              <w:rPr>
                <w:b/>
              </w:rPr>
            </w:pPr>
          </w:p>
        </w:tc>
        <w:tc>
          <w:tcPr>
            <w:tcW w:w="1003" w:type="dxa"/>
            <w:noWrap/>
            <w:tcMar>
              <w:top w:w="15" w:type="dxa"/>
              <w:left w:w="15" w:type="dxa"/>
              <w:bottom w:w="0" w:type="dxa"/>
              <w:right w:w="15" w:type="dxa"/>
            </w:tcMar>
            <w:vAlign w:val="bottom"/>
            <w:hideMark/>
          </w:tcPr>
          <w:p w14:paraId="03B21FAD" w14:textId="77777777" w:rsidR="0069677A" w:rsidRDefault="0069677A">
            <w:pPr>
              <w:spacing w:line="256" w:lineRule="auto"/>
              <w:jc w:val="right"/>
              <w:rPr>
                <w:b/>
              </w:rPr>
            </w:pPr>
            <w:r>
              <w:rPr>
                <w:b/>
              </w:rPr>
              <w:t>141</w:t>
            </w:r>
          </w:p>
        </w:tc>
        <w:tc>
          <w:tcPr>
            <w:tcW w:w="1003" w:type="dxa"/>
            <w:noWrap/>
            <w:tcMar>
              <w:top w:w="15" w:type="dxa"/>
              <w:left w:w="15" w:type="dxa"/>
              <w:bottom w:w="0" w:type="dxa"/>
              <w:right w:w="15" w:type="dxa"/>
            </w:tcMar>
            <w:vAlign w:val="bottom"/>
            <w:hideMark/>
          </w:tcPr>
          <w:p w14:paraId="6375EE69" w14:textId="77777777" w:rsidR="0069677A" w:rsidRDefault="0069677A">
            <w:pPr>
              <w:spacing w:line="256" w:lineRule="auto"/>
              <w:jc w:val="right"/>
            </w:pPr>
            <w:r>
              <w:t>(21)</w:t>
            </w:r>
          </w:p>
        </w:tc>
      </w:tr>
      <w:tr w:rsidR="0069677A" w14:paraId="3D5828A7" w14:textId="77777777">
        <w:trPr>
          <w:trHeight w:val="255"/>
        </w:trPr>
        <w:tc>
          <w:tcPr>
            <w:tcW w:w="5402" w:type="dxa"/>
            <w:noWrap/>
            <w:tcMar>
              <w:top w:w="15" w:type="dxa"/>
              <w:left w:w="15" w:type="dxa"/>
              <w:bottom w:w="0" w:type="dxa"/>
              <w:right w:w="15" w:type="dxa"/>
            </w:tcMar>
            <w:vAlign w:val="bottom"/>
            <w:hideMark/>
          </w:tcPr>
          <w:p w14:paraId="70DA87DB" w14:textId="77777777" w:rsidR="0069677A" w:rsidRDefault="0069677A">
            <w:pPr>
              <w:spacing w:line="256" w:lineRule="auto"/>
            </w:pPr>
            <w:r>
              <w:t>Retained earnings</w:t>
            </w:r>
          </w:p>
        </w:tc>
        <w:tc>
          <w:tcPr>
            <w:tcW w:w="1003" w:type="dxa"/>
          </w:tcPr>
          <w:p w14:paraId="0A9AE23C" w14:textId="77777777" w:rsidR="0069677A" w:rsidRDefault="0069677A">
            <w:pPr>
              <w:spacing w:line="256" w:lineRule="auto"/>
            </w:pPr>
          </w:p>
        </w:tc>
        <w:tc>
          <w:tcPr>
            <w:tcW w:w="1003" w:type="dxa"/>
          </w:tcPr>
          <w:p w14:paraId="72E5CD11" w14:textId="77777777" w:rsidR="0069677A" w:rsidRDefault="0069677A">
            <w:pPr>
              <w:spacing w:line="256" w:lineRule="auto"/>
              <w:jc w:val="right"/>
              <w:rPr>
                <w:b/>
              </w:rPr>
            </w:pPr>
          </w:p>
        </w:tc>
        <w:tc>
          <w:tcPr>
            <w:tcW w:w="1003" w:type="dxa"/>
            <w:tcBorders>
              <w:top w:val="nil"/>
              <w:left w:val="nil"/>
              <w:bottom w:val="single" w:sz="4" w:space="0" w:color="auto"/>
              <w:right w:val="nil"/>
            </w:tcBorders>
            <w:noWrap/>
            <w:tcMar>
              <w:top w:w="15" w:type="dxa"/>
              <w:left w:w="15" w:type="dxa"/>
              <w:bottom w:w="0" w:type="dxa"/>
              <w:right w:w="15" w:type="dxa"/>
            </w:tcMar>
            <w:vAlign w:val="bottom"/>
            <w:hideMark/>
          </w:tcPr>
          <w:p w14:paraId="74F90AFF" w14:textId="77777777" w:rsidR="0069677A" w:rsidRDefault="0069677A">
            <w:pPr>
              <w:spacing w:line="256" w:lineRule="auto"/>
              <w:jc w:val="right"/>
              <w:rPr>
                <w:b/>
              </w:rPr>
            </w:pPr>
            <w:r>
              <w:rPr>
                <w:b/>
              </w:rPr>
              <w:t>5,750</w:t>
            </w:r>
          </w:p>
        </w:tc>
        <w:tc>
          <w:tcPr>
            <w:tcW w:w="1003" w:type="dxa"/>
            <w:tcBorders>
              <w:top w:val="nil"/>
              <w:left w:val="nil"/>
              <w:bottom w:val="single" w:sz="4" w:space="0" w:color="auto"/>
              <w:right w:val="nil"/>
            </w:tcBorders>
            <w:noWrap/>
            <w:tcMar>
              <w:top w:w="15" w:type="dxa"/>
              <w:left w:w="15" w:type="dxa"/>
              <w:bottom w:w="0" w:type="dxa"/>
              <w:right w:w="15" w:type="dxa"/>
            </w:tcMar>
            <w:vAlign w:val="bottom"/>
            <w:hideMark/>
          </w:tcPr>
          <w:p w14:paraId="1127C25D" w14:textId="77777777" w:rsidR="0069677A" w:rsidRDefault="0069677A">
            <w:pPr>
              <w:spacing w:line="256" w:lineRule="auto"/>
              <w:jc w:val="right"/>
            </w:pPr>
            <w:r>
              <w:t>4,313</w:t>
            </w:r>
          </w:p>
        </w:tc>
      </w:tr>
      <w:tr w:rsidR="0069677A" w14:paraId="70A1BB77" w14:textId="77777777">
        <w:trPr>
          <w:trHeight w:val="255"/>
        </w:trPr>
        <w:tc>
          <w:tcPr>
            <w:tcW w:w="5402" w:type="dxa"/>
            <w:noWrap/>
            <w:tcMar>
              <w:top w:w="15" w:type="dxa"/>
              <w:left w:w="15" w:type="dxa"/>
              <w:bottom w:w="0" w:type="dxa"/>
              <w:right w:w="15" w:type="dxa"/>
            </w:tcMar>
            <w:vAlign w:val="bottom"/>
            <w:hideMark/>
          </w:tcPr>
          <w:p w14:paraId="7A1C515A" w14:textId="77777777" w:rsidR="0069677A" w:rsidRDefault="0069677A">
            <w:pPr>
              <w:spacing w:line="256" w:lineRule="auto"/>
              <w:rPr>
                <w:b/>
                <w:bCs/>
              </w:rPr>
            </w:pPr>
            <w:r>
              <w:rPr>
                <w:b/>
                <w:bCs/>
              </w:rPr>
              <w:t>TOTAL EQUITY</w:t>
            </w:r>
          </w:p>
        </w:tc>
        <w:tc>
          <w:tcPr>
            <w:tcW w:w="1003" w:type="dxa"/>
          </w:tcPr>
          <w:p w14:paraId="2B69DCDD" w14:textId="77777777" w:rsidR="0069677A" w:rsidRDefault="0069677A">
            <w:pPr>
              <w:spacing w:line="256" w:lineRule="auto"/>
            </w:pPr>
          </w:p>
        </w:tc>
        <w:tc>
          <w:tcPr>
            <w:tcW w:w="1003" w:type="dxa"/>
          </w:tcPr>
          <w:p w14:paraId="174AC4CF" w14:textId="77777777" w:rsidR="0069677A" w:rsidRDefault="0069677A">
            <w:pPr>
              <w:spacing w:line="256" w:lineRule="auto"/>
              <w:jc w:val="right"/>
              <w:rPr>
                <w:b/>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14:paraId="2A6CE75B" w14:textId="77777777" w:rsidR="0069677A" w:rsidRDefault="0069677A">
            <w:pPr>
              <w:spacing w:line="256" w:lineRule="auto"/>
              <w:jc w:val="right"/>
              <w:rPr>
                <w:b/>
              </w:rPr>
            </w:pPr>
            <w:r>
              <w:rPr>
                <w:b/>
              </w:rPr>
              <w:t>18,852</w:t>
            </w: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14:paraId="2EF463B4" w14:textId="77777777" w:rsidR="0069677A" w:rsidRDefault="0069677A">
            <w:pPr>
              <w:spacing w:line="256" w:lineRule="auto"/>
              <w:jc w:val="right"/>
            </w:pPr>
            <w:r>
              <w:t>17,253</w:t>
            </w:r>
          </w:p>
        </w:tc>
      </w:tr>
      <w:tr w:rsidR="0069677A" w14:paraId="043FB11A" w14:textId="77777777">
        <w:trPr>
          <w:trHeight w:val="255"/>
        </w:trPr>
        <w:tc>
          <w:tcPr>
            <w:tcW w:w="5402" w:type="dxa"/>
            <w:noWrap/>
            <w:tcMar>
              <w:top w:w="15" w:type="dxa"/>
              <w:left w:w="15" w:type="dxa"/>
              <w:bottom w:w="0" w:type="dxa"/>
              <w:right w:w="15" w:type="dxa"/>
            </w:tcMar>
            <w:vAlign w:val="bottom"/>
          </w:tcPr>
          <w:p w14:paraId="07A1C496" w14:textId="77777777" w:rsidR="0069677A" w:rsidRDefault="0069677A">
            <w:pPr>
              <w:spacing w:line="256" w:lineRule="auto"/>
              <w:rPr>
                <w:b/>
              </w:rPr>
            </w:pPr>
          </w:p>
        </w:tc>
        <w:tc>
          <w:tcPr>
            <w:tcW w:w="1003" w:type="dxa"/>
          </w:tcPr>
          <w:p w14:paraId="63FF67CF" w14:textId="77777777" w:rsidR="0069677A" w:rsidRDefault="0069677A">
            <w:pPr>
              <w:spacing w:line="256" w:lineRule="auto"/>
            </w:pPr>
          </w:p>
        </w:tc>
        <w:tc>
          <w:tcPr>
            <w:tcW w:w="1003" w:type="dxa"/>
          </w:tcPr>
          <w:p w14:paraId="583E6EAD" w14:textId="77777777" w:rsidR="0069677A" w:rsidRDefault="0069677A">
            <w:pPr>
              <w:spacing w:line="256" w:lineRule="auto"/>
              <w:jc w:val="right"/>
              <w:rPr>
                <w:b/>
              </w:rPr>
            </w:pPr>
          </w:p>
        </w:tc>
        <w:tc>
          <w:tcPr>
            <w:tcW w:w="1003" w:type="dxa"/>
            <w:tcBorders>
              <w:top w:val="single" w:sz="4" w:space="0" w:color="auto"/>
              <w:left w:val="nil"/>
              <w:bottom w:val="nil"/>
              <w:right w:val="nil"/>
            </w:tcBorders>
            <w:noWrap/>
            <w:tcMar>
              <w:top w:w="15" w:type="dxa"/>
              <w:left w:w="15" w:type="dxa"/>
              <w:bottom w:w="0" w:type="dxa"/>
              <w:right w:w="15" w:type="dxa"/>
            </w:tcMar>
            <w:vAlign w:val="bottom"/>
          </w:tcPr>
          <w:p w14:paraId="6E28D410" w14:textId="77777777" w:rsidR="0069677A" w:rsidRDefault="0069677A">
            <w:pPr>
              <w:spacing w:line="256" w:lineRule="auto"/>
              <w:jc w:val="right"/>
              <w:rPr>
                <w:b/>
              </w:rPr>
            </w:pPr>
          </w:p>
        </w:tc>
        <w:tc>
          <w:tcPr>
            <w:tcW w:w="1003" w:type="dxa"/>
            <w:tcBorders>
              <w:top w:val="single" w:sz="4" w:space="0" w:color="auto"/>
              <w:left w:val="nil"/>
              <w:bottom w:val="nil"/>
              <w:right w:val="nil"/>
            </w:tcBorders>
            <w:noWrap/>
            <w:tcMar>
              <w:top w:w="15" w:type="dxa"/>
              <w:left w:w="15" w:type="dxa"/>
              <w:bottom w:w="0" w:type="dxa"/>
              <w:right w:w="15" w:type="dxa"/>
            </w:tcMar>
            <w:vAlign w:val="bottom"/>
          </w:tcPr>
          <w:p w14:paraId="2F5C5543" w14:textId="77777777" w:rsidR="0069677A" w:rsidRDefault="0069677A">
            <w:pPr>
              <w:spacing w:line="256" w:lineRule="auto"/>
              <w:jc w:val="right"/>
            </w:pPr>
          </w:p>
        </w:tc>
      </w:tr>
      <w:tr w:rsidR="0069677A" w14:paraId="25726037" w14:textId="77777777">
        <w:trPr>
          <w:trHeight w:val="255"/>
        </w:trPr>
        <w:tc>
          <w:tcPr>
            <w:tcW w:w="5402" w:type="dxa"/>
            <w:noWrap/>
            <w:tcMar>
              <w:top w:w="15" w:type="dxa"/>
              <w:left w:w="15" w:type="dxa"/>
              <w:bottom w:w="0" w:type="dxa"/>
              <w:right w:w="15" w:type="dxa"/>
            </w:tcMar>
            <w:vAlign w:val="bottom"/>
            <w:hideMark/>
          </w:tcPr>
          <w:p w14:paraId="1A79EA0B" w14:textId="77777777" w:rsidR="0069677A" w:rsidRDefault="0069677A">
            <w:pPr>
              <w:spacing w:line="256" w:lineRule="auto"/>
              <w:rPr>
                <w:b/>
                <w:bCs/>
              </w:rPr>
            </w:pPr>
            <w:r>
              <w:rPr>
                <w:b/>
                <w:bCs/>
              </w:rPr>
              <w:t>Non-current liabilities</w:t>
            </w:r>
          </w:p>
        </w:tc>
        <w:tc>
          <w:tcPr>
            <w:tcW w:w="1003" w:type="dxa"/>
          </w:tcPr>
          <w:p w14:paraId="5214794B" w14:textId="77777777" w:rsidR="0069677A" w:rsidRDefault="0069677A">
            <w:pPr>
              <w:spacing w:line="256" w:lineRule="auto"/>
            </w:pPr>
          </w:p>
        </w:tc>
        <w:tc>
          <w:tcPr>
            <w:tcW w:w="1003" w:type="dxa"/>
          </w:tcPr>
          <w:p w14:paraId="767E0F27" w14:textId="77777777" w:rsidR="0069677A" w:rsidRDefault="0069677A">
            <w:pPr>
              <w:spacing w:line="256" w:lineRule="auto"/>
              <w:rPr>
                <w:b/>
              </w:rPr>
            </w:pPr>
          </w:p>
        </w:tc>
        <w:tc>
          <w:tcPr>
            <w:tcW w:w="1003" w:type="dxa"/>
            <w:noWrap/>
            <w:tcMar>
              <w:top w:w="15" w:type="dxa"/>
              <w:left w:w="15" w:type="dxa"/>
              <w:bottom w:w="0" w:type="dxa"/>
              <w:right w:w="15" w:type="dxa"/>
            </w:tcMar>
            <w:vAlign w:val="bottom"/>
          </w:tcPr>
          <w:p w14:paraId="5D18545C" w14:textId="77777777" w:rsidR="0069677A" w:rsidRDefault="0069677A">
            <w:pPr>
              <w:spacing w:line="256" w:lineRule="auto"/>
              <w:rPr>
                <w:b/>
              </w:rPr>
            </w:pPr>
          </w:p>
        </w:tc>
        <w:tc>
          <w:tcPr>
            <w:tcW w:w="1003" w:type="dxa"/>
            <w:noWrap/>
            <w:tcMar>
              <w:top w:w="15" w:type="dxa"/>
              <w:left w:w="15" w:type="dxa"/>
              <w:bottom w:w="0" w:type="dxa"/>
              <w:right w:w="15" w:type="dxa"/>
            </w:tcMar>
            <w:vAlign w:val="bottom"/>
          </w:tcPr>
          <w:p w14:paraId="09693DBE" w14:textId="77777777" w:rsidR="0069677A" w:rsidRDefault="0069677A">
            <w:pPr>
              <w:spacing w:line="256" w:lineRule="auto"/>
            </w:pPr>
          </w:p>
        </w:tc>
      </w:tr>
      <w:tr w:rsidR="0069677A" w14:paraId="658CB7D5" w14:textId="77777777">
        <w:trPr>
          <w:trHeight w:val="255"/>
        </w:trPr>
        <w:tc>
          <w:tcPr>
            <w:tcW w:w="5402" w:type="dxa"/>
            <w:noWrap/>
            <w:tcMar>
              <w:top w:w="15" w:type="dxa"/>
              <w:left w:w="15" w:type="dxa"/>
              <w:bottom w:w="0" w:type="dxa"/>
              <w:right w:w="15" w:type="dxa"/>
            </w:tcMar>
            <w:vAlign w:val="bottom"/>
            <w:hideMark/>
          </w:tcPr>
          <w:p w14:paraId="2FE1EEAE" w14:textId="77777777" w:rsidR="0069677A" w:rsidRDefault="0069677A">
            <w:pPr>
              <w:spacing w:line="256" w:lineRule="auto"/>
            </w:pPr>
            <w:r>
              <w:t>Borrowings</w:t>
            </w:r>
          </w:p>
        </w:tc>
        <w:tc>
          <w:tcPr>
            <w:tcW w:w="1003" w:type="dxa"/>
          </w:tcPr>
          <w:p w14:paraId="098E54BE" w14:textId="77777777" w:rsidR="0069677A" w:rsidRDefault="0069677A">
            <w:pPr>
              <w:spacing w:line="256" w:lineRule="auto"/>
            </w:pPr>
          </w:p>
        </w:tc>
        <w:tc>
          <w:tcPr>
            <w:tcW w:w="1003" w:type="dxa"/>
          </w:tcPr>
          <w:p w14:paraId="3455B419" w14:textId="77777777" w:rsidR="0069677A" w:rsidRDefault="0069677A">
            <w:pPr>
              <w:spacing w:line="256" w:lineRule="auto"/>
              <w:jc w:val="right"/>
              <w:rPr>
                <w:b/>
              </w:rPr>
            </w:pPr>
          </w:p>
        </w:tc>
        <w:tc>
          <w:tcPr>
            <w:tcW w:w="1003" w:type="dxa"/>
            <w:noWrap/>
            <w:tcMar>
              <w:top w:w="15" w:type="dxa"/>
              <w:left w:w="15" w:type="dxa"/>
              <w:bottom w:w="0" w:type="dxa"/>
              <w:right w:w="15" w:type="dxa"/>
            </w:tcMar>
            <w:vAlign w:val="bottom"/>
            <w:hideMark/>
          </w:tcPr>
          <w:p w14:paraId="56EAE9F7" w14:textId="77777777" w:rsidR="0069677A" w:rsidRDefault="0069677A">
            <w:pPr>
              <w:spacing w:line="256" w:lineRule="auto"/>
              <w:jc w:val="right"/>
              <w:rPr>
                <w:b/>
              </w:rPr>
            </w:pPr>
            <w:r>
              <w:rPr>
                <w:b/>
              </w:rPr>
              <w:t>5,514</w:t>
            </w:r>
          </w:p>
        </w:tc>
        <w:tc>
          <w:tcPr>
            <w:tcW w:w="1003" w:type="dxa"/>
            <w:noWrap/>
            <w:tcMar>
              <w:top w:w="15" w:type="dxa"/>
              <w:left w:w="15" w:type="dxa"/>
              <w:bottom w:w="0" w:type="dxa"/>
              <w:right w:w="15" w:type="dxa"/>
            </w:tcMar>
            <w:vAlign w:val="bottom"/>
            <w:hideMark/>
          </w:tcPr>
          <w:p w14:paraId="0D1E7C21" w14:textId="77777777" w:rsidR="0069677A" w:rsidRDefault="0069677A">
            <w:pPr>
              <w:spacing w:line="256" w:lineRule="auto"/>
              <w:jc w:val="right"/>
            </w:pPr>
            <w:r>
              <w:t>5,935</w:t>
            </w:r>
          </w:p>
        </w:tc>
      </w:tr>
      <w:tr w:rsidR="0069677A" w14:paraId="4B77D9FF" w14:textId="77777777">
        <w:trPr>
          <w:trHeight w:val="255"/>
        </w:trPr>
        <w:tc>
          <w:tcPr>
            <w:tcW w:w="5402" w:type="dxa"/>
            <w:noWrap/>
            <w:tcMar>
              <w:top w:w="15" w:type="dxa"/>
              <w:left w:w="15" w:type="dxa"/>
              <w:bottom w:w="0" w:type="dxa"/>
              <w:right w:w="15" w:type="dxa"/>
            </w:tcMar>
            <w:vAlign w:val="bottom"/>
            <w:hideMark/>
          </w:tcPr>
          <w:p w14:paraId="627548E8" w14:textId="77777777" w:rsidR="0069677A" w:rsidRDefault="0069677A">
            <w:pPr>
              <w:spacing w:line="256" w:lineRule="auto"/>
            </w:pPr>
            <w:r>
              <w:t>Deferred tax</w:t>
            </w:r>
          </w:p>
        </w:tc>
        <w:tc>
          <w:tcPr>
            <w:tcW w:w="1003" w:type="dxa"/>
          </w:tcPr>
          <w:p w14:paraId="487AE703" w14:textId="77777777" w:rsidR="0069677A" w:rsidRDefault="0069677A">
            <w:pPr>
              <w:spacing w:line="256" w:lineRule="auto"/>
            </w:pPr>
          </w:p>
        </w:tc>
        <w:tc>
          <w:tcPr>
            <w:tcW w:w="1003" w:type="dxa"/>
          </w:tcPr>
          <w:p w14:paraId="2DFD4C29" w14:textId="77777777" w:rsidR="0069677A" w:rsidRDefault="0069677A">
            <w:pPr>
              <w:spacing w:line="256" w:lineRule="auto"/>
              <w:jc w:val="right"/>
              <w:rPr>
                <w:b/>
              </w:rPr>
            </w:pPr>
          </w:p>
        </w:tc>
        <w:tc>
          <w:tcPr>
            <w:tcW w:w="1003" w:type="dxa"/>
            <w:noWrap/>
            <w:tcMar>
              <w:top w:w="15" w:type="dxa"/>
              <w:left w:w="15" w:type="dxa"/>
              <w:bottom w:w="0" w:type="dxa"/>
              <w:right w:w="15" w:type="dxa"/>
            </w:tcMar>
            <w:vAlign w:val="bottom"/>
            <w:hideMark/>
          </w:tcPr>
          <w:p w14:paraId="695F9436" w14:textId="77777777" w:rsidR="0069677A" w:rsidRDefault="0069677A">
            <w:pPr>
              <w:spacing w:line="256" w:lineRule="auto"/>
              <w:jc w:val="right"/>
              <w:rPr>
                <w:b/>
              </w:rPr>
            </w:pPr>
            <w:r>
              <w:rPr>
                <w:b/>
              </w:rPr>
              <w:t>1,244</w:t>
            </w:r>
          </w:p>
        </w:tc>
        <w:tc>
          <w:tcPr>
            <w:tcW w:w="1003" w:type="dxa"/>
            <w:noWrap/>
            <w:tcMar>
              <w:top w:w="15" w:type="dxa"/>
              <w:left w:w="15" w:type="dxa"/>
              <w:bottom w:w="0" w:type="dxa"/>
              <w:right w:w="15" w:type="dxa"/>
            </w:tcMar>
            <w:vAlign w:val="bottom"/>
            <w:hideMark/>
          </w:tcPr>
          <w:p w14:paraId="12C5DB39" w14:textId="77777777" w:rsidR="0069677A" w:rsidRDefault="0069677A">
            <w:pPr>
              <w:spacing w:line="256" w:lineRule="auto"/>
              <w:jc w:val="right"/>
            </w:pPr>
            <w:r>
              <w:t>1,002</w:t>
            </w:r>
          </w:p>
        </w:tc>
      </w:tr>
      <w:tr w:rsidR="0069677A" w14:paraId="25895BFE" w14:textId="77777777">
        <w:trPr>
          <w:trHeight w:val="255"/>
        </w:trPr>
        <w:tc>
          <w:tcPr>
            <w:tcW w:w="5402" w:type="dxa"/>
            <w:noWrap/>
            <w:tcMar>
              <w:top w:w="15" w:type="dxa"/>
              <w:left w:w="15" w:type="dxa"/>
              <w:bottom w:w="0" w:type="dxa"/>
              <w:right w:w="15" w:type="dxa"/>
            </w:tcMar>
            <w:vAlign w:val="bottom"/>
          </w:tcPr>
          <w:p w14:paraId="4FF2DFA1" w14:textId="77777777" w:rsidR="0069677A" w:rsidRDefault="0069677A">
            <w:pPr>
              <w:spacing w:line="256" w:lineRule="auto"/>
            </w:pPr>
          </w:p>
        </w:tc>
        <w:tc>
          <w:tcPr>
            <w:tcW w:w="1003" w:type="dxa"/>
          </w:tcPr>
          <w:p w14:paraId="337A1515" w14:textId="77777777" w:rsidR="0069677A" w:rsidRDefault="0069677A">
            <w:pPr>
              <w:spacing w:line="256" w:lineRule="auto"/>
            </w:pPr>
          </w:p>
        </w:tc>
        <w:tc>
          <w:tcPr>
            <w:tcW w:w="1003" w:type="dxa"/>
          </w:tcPr>
          <w:p w14:paraId="6D878830" w14:textId="77777777" w:rsidR="0069677A" w:rsidRDefault="0069677A">
            <w:pPr>
              <w:spacing w:line="256" w:lineRule="auto"/>
              <w:jc w:val="right"/>
              <w:rPr>
                <w:b/>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14:paraId="0380972C" w14:textId="77777777" w:rsidR="0069677A" w:rsidRDefault="0069677A">
            <w:pPr>
              <w:spacing w:line="256" w:lineRule="auto"/>
              <w:jc w:val="right"/>
              <w:rPr>
                <w:b/>
              </w:rPr>
            </w:pPr>
            <w:r>
              <w:rPr>
                <w:b/>
              </w:rPr>
              <w:t>6,758</w:t>
            </w: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14:paraId="77341EAA" w14:textId="77777777" w:rsidR="0069677A" w:rsidRDefault="0069677A">
            <w:pPr>
              <w:spacing w:line="256" w:lineRule="auto"/>
              <w:jc w:val="right"/>
            </w:pPr>
            <w:r>
              <w:t>6,937</w:t>
            </w:r>
          </w:p>
        </w:tc>
      </w:tr>
      <w:tr w:rsidR="0069677A" w14:paraId="6C8404E5" w14:textId="77777777">
        <w:trPr>
          <w:trHeight w:val="255"/>
        </w:trPr>
        <w:tc>
          <w:tcPr>
            <w:tcW w:w="5402" w:type="dxa"/>
            <w:noWrap/>
            <w:tcMar>
              <w:top w:w="15" w:type="dxa"/>
              <w:left w:w="15" w:type="dxa"/>
              <w:bottom w:w="0" w:type="dxa"/>
              <w:right w:w="15" w:type="dxa"/>
            </w:tcMar>
            <w:vAlign w:val="bottom"/>
            <w:hideMark/>
          </w:tcPr>
          <w:p w14:paraId="219AD90C" w14:textId="77777777" w:rsidR="0069677A" w:rsidRDefault="0069677A">
            <w:pPr>
              <w:spacing w:line="256" w:lineRule="auto"/>
              <w:rPr>
                <w:b/>
                <w:bCs/>
              </w:rPr>
            </w:pPr>
            <w:r>
              <w:rPr>
                <w:b/>
                <w:bCs/>
              </w:rPr>
              <w:t>Current liabilities</w:t>
            </w:r>
          </w:p>
        </w:tc>
        <w:tc>
          <w:tcPr>
            <w:tcW w:w="1003" w:type="dxa"/>
          </w:tcPr>
          <w:p w14:paraId="4C85568F" w14:textId="77777777" w:rsidR="0069677A" w:rsidRDefault="0069677A">
            <w:pPr>
              <w:spacing w:line="256" w:lineRule="auto"/>
            </w:pPr>
          </w:p>
        </w:tc>
        <w:tc>
          <w:tcPr>
            <w:tcW w:w="1003" w:type="dxa"/>
          </w:tcPr>
          <w:p w14:paraId="32568471" w14:textId="77777777" w:rsidR="0069677A" w:rsidRDefault="0069677A">
            <w:pPr>
              <w:spacing w:line="256" w:lineRule="auto"/>
              <w:rPr>
                <w:b/>
              </w:rPr>
            </w:pPr>
          </w:p>
        </w:tc>
        <w:tc>
          <w:tcPr>
            <w:tcW w:w="1003" w:type="dxa"/>
            <w:noWrap/>
            <w:tcMar>
              <w:top w:w="15" w:type="dxa"/>
              <w:left w:w="15" w:type="dxa"/>
              <w:bottom w:w="0" w:type="dxa"/>
              <w:right w:w="15" w:type="dxa"/>
            </w:tcMar>
            <w:vAlign w:val="bottom"/>
          </w:tcPr>
          <w:p w14:paraId="3C23AA62" w14:textId="77777777" w:rsidR="0069677A" w:rsidRDefault="0069677A">
            <w:pPr>
              <w:spacing w:line="256" w:lineRule="auto"/>
              <w:rPr>
                <w:b/>
              </w:rPr>
            </w:pPr>
          </w:p>
        </w:tc>
        <w:tc>
          <w:tcPr>
            <w:tcW w:w="1003" w:type="dxa"/>
            <w:noWrap/>
            <w:tcMar>
              <w:top w:w="15" w:type="dxa"/>
              <w:left w:w="15" w:type="dxa"/>
              <w:bottom w:w="0" w:type="dxa"/>
              <w:right w:w="15" w:type="dxa"/>
            </w:tcMar>
            <w:vAlign w:val="bottom"/>
          </w:tcPr>
          <w:p w14:paraId="3F4C4872" w14:textId="77777777" w:rsidR="0069677A" w:rsidRDefault="0069677A">
            <w:pPr>
              <w:spacing w:line="256" w:lineRule="auto"/>
            </w:pPr>
          </w:p>
        </w:tc>
      </w:tr>
      <w:tr w:rsidR="0069677A" w14:paraId="34280F1F" w14:textId="77777777">
        <w:trPr>
          <w:trHeight w:val="255"/>
        </w:trPr>
        <w:tc>
          <w:tcPr>
            <w:tcW w:w="5402" w:type="dxa"/>
            <w:noWrap/>
            <w:tcMar>
              <w:top w:w="15" w:type="dxa"/>
              <w:left w:w="15" w:type="dxa"/>
              <w:bottom w:w="0" w:type="dxa"/>
              <w:right w:w="15" w:type="dxa"/>
            </w:tcMar>
            <w:vAlign w:val="bottom"/>
            <w:hideMark/>
          </w:tcPr>
          <w:p w14:paraId="1FBCA9F9" w14:textId="77777777" w:rsidR="0069677A" w:rsidRDefault="0069677A">
            <w:pPr>
              <w:spacing w:line="256" w:lineRule="auto"/>
            </w:pPr>
            <w:r>
              <w:t>Trade and other payables</w:t>
            </w:r>
          </w:p>
        </w:tc>
        <w:tc>
          <w:tcPr>
            <w:tcW w:w="1003" w:type="dxa"/>
          </w:tcPr>
          <w:p w14:paraId="23D174C6" w14:textId="77777777" w:rsidR="0069677A" w:rsidRDefault="0069677A">
            <w:pPr>
              <w:spacing w:line="256" w:lineRule="auto"/>
            </w:pPr>
          </w:p>
        </w:tc>
        <w:tc>
          <w:tcPr>
            <w:tcW w:w="1003" w:type="dxa"/>
          </w:tcPr>
          <w:p w14:paraId="35799610" w14:textId="77777777" w:rsidR="0069677A" w:rsidRDefault="0069677A">
            <w:pPr>
              <w:spacing w:line="256" w:lineRule="auto"/>
              <w:jc w:val="right"/>
              <w:rPr>
                <w:b/>
              </w:rPr>
            </w:pPr>
          </w:p>
        </w:tc>
        <w:tc>
          <w:tcPr>
            <w:tcW w:w="1003" w:type="dxa"/>
            <w:noWrap/>
            <w:tcMar>
              <w:top w:w="15" w:type="dxa"/>
              <w:left w:w="15" w:type="dxa"/>
              <w:bottom w:w="0" w:type="dxa"/>
              <w:right w:w="15" w:type="dxa"/>
            </w:tcMar>
            <w:vAlign w:val="bottom"/>
            <w:hideMark/>
          </w:tcPr>
          <w:p w14:paraId="147EBE41" w14:textId="77777777" w:rsidR="0069677A" w:rsidRDefault="0069677A">
            <w:pPr>
              <w:spacing w:line="256" w:lineRule="auto"/>
              <w:jc w:val="right"/>
              <w:rPr>
                <w:b/>
              </w:rPr>
            </w:pPr>
            <w:r>
              <w:rPr>
                <w:b/>
              </w:rPr>
              <w:t>6,288</w:t>
            </w:r>
          </w:p>
        </w:tc>
        <w:tc>
          <w:tcPr>
            <w:tcW w:w="1003" w:type="dxa"/>
            <w:noWrap/>
            <w:tcMar>
              <w:top w:w="15" w:type="dxa"/>
              <w:left w:w="15" w:type="dxa"/>
              <w:bottom w:w="0" w:type="dxa"/>
              <w:right w:w="15" w:type="dxa"/>
            </w:tcMar>
            <w:vAlign w:val="bottom"/>
            <w:hideMark/>
          </w:tcPr>
          <w:p w14:paraId="5D55804E" w14:textId="77777777" w:rsidR="0069677A" w:rsidRDefault="0069677A">
            <w:pPr>
              <w:spacing w:line="256" w:lineRule="auto"/>
              <w:jc w:val="right"/>
            </w:pPr>
            <w:r>
              <w:t>6,564</w:t>
            </w:r>
          </w:p>
        </w:tc>
      </w:tr>
      <w:tr w:rsidR="0069677A" w14:paraId="300D30C8" w14:textId="77777777">
        <w:trPr>
          <w:trHeight w:val="255"/>
        </w:trPr>
        <w:tc>
          <w:tcPr>
            <w:tcW w:w="5402" w:type="dxa"/>
            <w:noWrap/>
            <w:tcMar>
              <w:top w:w="15" w:type="dxa"/>
              <w:left w:w="15" w:type="dxa"/>
              <w:bottom w:w="0" w:type="dxa"/>
              <w:right w:w="15" w:type="dxa"/>
            </w:tcMar>
            <w:vAlign w:val="bottom"/>
            <w:hideMark/>
          </w:tcPr>
          <w:p w14:paraId="7FD8E97B" w14:textId="77777777" w:rsidR="0069677A" w:rsidRDefault="0069677A">
            <w:pPr>
              <w:spacing w:line="256" w:lineRule="auto"/>
            </w:pPr>
            <w:r>
              <w:t>Current tax liabilities</w:t>
            </w:r>
          </w:p>
        </w:tc>
        <w:tc>
          <w:tcPr>
            <w:tcW w:w="1003" w:type="dxa"/>
          </w:tcPr>
          <w:p w14:paraId="3F820FFD" w14:textId="77777777" w:rsidR="0069677A" w:rsidRDefault="0069677A">
            <w:pPr>
              <w:spacing w:line="256" w:lineRule="auto"/>
            </w:pPr>
          </w:p>
        </w:tc>
        <w:tc>
          <w:tcPr>
            <w:tcW w:w="1003" w:type="dxa"/>
          </w:tcPr>
          <w:p w14:paraId="7BAC43EF" w14:textId="77777777" w:rsidR="0069677A" w:rsidRDefault="0069677A">
            <w:pPr>
              <w:spacing w:line="256" w:lineRule="auto"/>
              <w:jc w:val="right"/>
              <w:rPr>
                <w:b/>
              </w:rPr>
            </w:pPr>
          </w:p>
        </w:tc>
        <w:tc>
          <w:tcPr>
            <w:tcW w:w="1003" w:type="dxa"/>
            <w:noWrap/>
            <w:tcMar>
              <w:top w:w="15" w:type="dxa"/>
              <w:left w:w="15" w:type="dxa"/>
              <w:bottom w:w="0" w:type="dxa"/>
              <w:right w:w="15" w:type="dxa"/>
            </w:tcMar>
            <w:vAlign w:val="bottom"/>
            <w:hideMark/>
          </w:tcPr>
          <w:p w14:paraId="1AB71EAA" w14:textId="77777777" w:rsidR="0069677A" w:rsidRDefault="0069677A">
            <w:pPr>
              <w:spacing w:line="256" w:lineRule="auto"/>
              <w:jc w:val="right"/>
              <w:rPr>
                <w:b/>
              </w:rPr>
            </w:pPr>
            <w:r>
              <w:rPr>
                <w:b/>
              </w:rPr>
              <w:t>151</w:t>
            </w:r>
          </w:p>
        </w:tc>
        <w:tc>
          <w:tcPr>
            <w:tcW w:w="1003" w:type="dxa"/>
            <w:noWrap/>
            <w:tcMar>
              <w:top w:w="15" w:type="dxa"/>
              <w:left w:w="15" w:type="dxa"/>
              <w:bottom w:w="0" w:type="dxa"/>
              <w:right w:w="15" w:type="dxa"/>
            </w:tcMar>
            <w:vAlign w:val="bottom"/>
            <w:hideMark/>
          </w:tcPr>
          <w:p w14:paraId="7E201687" w14:textId="77777777" w:rsidR="0069677A" w:rsidRDefault="0069677A">
            <w:pPr>
              <w:spacing w:line="256" w:lineRule="auto"/>
              <w:jc w:val="right"/>
            </w:pPr>
            <w:r>
              <w:t>231</w:t>
            </w:r>
          </w:p>
        </w:tc>
      </w:tr>
      <w:tr w:rsidR="0069677A" w14:paraId="49FF83D5" w14:textId="77777777">
        <w:trPr>
          <w:trHeight w:val="255"/>
        </w:trPr>
        <w:tc>
          <w:tcPr>
            <w:tcW w:w="5402" w:type="dxa"/>
            <w:noWrap/>
            <w:tcMar>
              <w:top w:w="15" w:type="dxa"/>
              <w:left w:w="15" w:type="dxa"/>
              <w:bottom w:w="0" w:type="dxa"/>
              <w:right w:w="15" w:type="dxa"/>
            </w:tcMar>
            <w:vAlign w:val="bottom"/>
            <w:hideMark/>
          </w:tcPr>
          <w:p w14:paraId="05152653" w14:textId="77777777" w:rsidR="0069677A" w:rsidRDefault="0069677A">
            <w:pPr>
              <w:spacing w:line="256" w:lineRule="auto"/>
            </w:pPr>
            <w:r>
              <w:t>Borrowings</w:t>
            </w:r>
          </w:p>
        </w:tc>
        <w:tc>
          <w:tcPr>
            <w:tcW w:w="1003" w:type="dxa"/>
          </w:tcPr>
          <w:p w14:paraId="176C0470" w14:textId="77777777" w:rsidR="0069677A" w:rsidRDefault="0069677A">
            <w:pPr>
              <w:spacing w:line="256" w:lineRule="auto"/>
            </w:pPr>
          </w:p>
        </w:tc>
        <w:tc>
          <w:tcPr>
            <w:tcW w:w="1003" w:type="dxa"/>
          </w:tcPr>
          <w:p w14:paraId="25F2FEB4" w14:textId="77777777" w:rsidR="0069677A" w:rsidRDefault="0069677A">
            <w:pPr>
              <w:spacing w:line="256" w:lineRule="auto"/>
              <w:jc w:val="right"/>
              <w:rPr>
                <w:b/>
              </w:rPr>
            </w:pPr>
          </w:p>
        </w:tc>
        <w:tc>
          <w:tcPr>
            <w:tcW w:w="1003" w:type="dxa"/>
            <w:noWrap/>
            <w:tcMar>
              <w:top w:w="15" w:type="dxa"/>
              <w:left w:w="15" w:type="dxa"/>
              <w:bottom w:w="0" w:type="dxa"/>
              <w:right w:w="15" w:type="dxa"/>
            </w:tcMar>
            <w:vAlign w:val="bottom"/>
            <w:hideMark/>
          </w:tcPr>
          <w:p w14:paraId="7621F3D6" w14:textId="77777777" w:rsidR="0069677A" w:rsidRDefault="0069677A">
            <w:pPr>
              <w:spacing w:line="256" w:lineRule="auto"/>
              <w:jc w:val="right"/>
              <w:rPr>
                <w:b/>
              </w:rPr>
            </w:pPr>
            <w:r>
              <w:rPr>
                <w:b/>
              </w:rPr>
              <w:t>4,741</w:t>
            </w:r>
          </w:p>
        </w:tc>
        <w:tc>
          <w:tcPr>
            <w:tcW w:w="1003" w:type="dxa"/>
            <w:noWrap/>
            <w:tcMar>
              <w:top w:w="15" w:type="dxa"/>
              <w:left w:w="15" w:type="dxa"/>
              <w:bottom w:w="0" w:type="dxa"/>
              <w:right w:w="15" w:type="dxa"/>
            </w:tcMar>
            <w:vAlign w:val="bottom"/>
            <w:hideMark/>
          </w:tcPr>
          <w:p w14:paraId="0F945EA4" w14:textId="77777777" w:rsidR="0069677A" w:rsidRDefault="0069677A">
            <w:pPr>
              <w:spacing w:line="256" w:lineRule="auto"/>
              <w:jc w:val="right"/>
            </w:pPr>
            <w:r>
              <w:t>4,811</w:t>
            </w:r>
          </w:p>
        </w:tc>
      </w:tr>
      <w:tr w:rsidR="0069677A" w14:paraId="674A3D91" w14:textId="77777777">
        <w:trPr>
          <w:trHeight w:val="255"/>
        </w:trPr>
        <w:tc>
          <w:tcPr>
            <w:tcW w:w="5402" w:type="dxa"/>
            <w:noWrap/>
            <w:tcMar>
              <w:top w:w="15" w:type="dxa"/>
              <w:left w:w="15" w:type="dxa"/>
              <w:bottom w:w="0" w:type="dxa"/>
              <w:right w:w="15" w:type="dxa"/>
            </w:tcMar>
            <w:vAlign w:val="bottom"/>
          </w:tcPr>
          <w:p w14:paraId="6A715C71" w14:textId="77777777" w:rsidR="0069677A" w:rsidRDefault="0069677A">
            <w:pPr>
              <w:spacing w:line="256" w:lineRule="auto"/>
            </w:pPr>
          </w:p>
        </w:tc>
        <w:tc>
          <w:tcPr>
            <w:tcW w:w="1003" w:type="dxa"/>
          </w:tcPr>
          <w:p w14:paraId="19F441A1" w14:textId="77777777" w:rsidR="0069677A" w:rsidRDefault="0069677A">
            <w:pPr>
              <w:spacing w:line="256" w:lineRule="auto"/>
            </w:pPr>
          </w:p>
        </w:tc>
        <w:tc>
          <w:tcPr>
            <w:tcW w:w="1003" w:type="dxa"/>
          </w:tcPr>
          <w:p w14:paraId="4A868A84" w14:textId="77777777" w:rsidR="0069677A" w:rsidRDefault="0069677A">
            <w:pPr>
              <w:spacing w:line="256" w:lineRule="auto"/>
              <w:jc w:val="right"/>
              <w:rPr>
                <w:b/>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14:paraId="267CB94E" w14:textId="77777777" w:rsidR="0069677A" w:rsidRDefault="0069677A">
            <w:pPr>
              <w:spacing w:line="256" w:lineRule="auto"/>
              <w:jc w:val="right"/>
              <w:rPr>
                <w:b/>
              </w:rPr>
            </w:pPr>
            <w:r>
              <w:rPr>
                <w:b/>
              </w:rPr>
              <w:t>11,180</w:t>
            </w: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14:paraId="19DDA687" w14:textId="77777777" w:rsidR="0069677A" w:rsidRDefault="0069677A">
            <w:pPr>
              <w:spacing w:line="256" w:lineRule="auto"/>
              <w:jc w:val="right"/>
            </w:pPr>
            <w:r>
              <w:t>11,606</w:t>
            </w:r>
          </w:p>
        </w:tc>
      </w:tr>
      <w:tr w:rsidR="0069677A" w14:paraId="3B7A8366" w14:textId="77777777">
        <w:trPr>
          <w:trHeight w:val="255"/>
        </w:trPr>
        <w:tc>
          <w:tcPr>
            <w:tcW w:w="5402" w:type="dxa"/>
            <w:noWrap/>
            <w:tcMar>
              <w:top w:w="15" w:type="dxa"/>
              <w:left w:w="15" w:type="dxa"/>
              <w:bottom w:w="0" w:type="dxa"/>
              <w:right w:w="15" w:type="dxa"/>
            </w:tcMar>
            <w:vAlign w:val="bottom"/>
          </w:tcPr>
          <w:p w14:paraId="2628CA2E" w14:textId="77777777" w:rsidR="0069677A" w:rsidRDefault="0069677A">
            <w:pPr>
              <w:spacing w:line="256" w:lineRule="auto"/>
            </w:pPr>
          </w:p>
        </w:tc>
        <w:tc>
          <w:tcPr>
            <w:tcW w:w="1003" w:type="dxa"/>
          </w:tcPr>
          <w:p w14:paraId="05E10CC6" w14:textId="77777777" w:rsidR="0069677A" w:rsidRDefault="0069677A">
            <w:pPr>
              <w:spacing w:line="256" w:lineRule="auto"/>
            </w:pPr>
          </w:p>
        </w:tc>
        <w:tc>
          <w:tcPr>
            <w:tcW w:w="1003" w:type="dxa"/>
          </w:tcPr>
          <w:p w14:paraId="25B3B50A" w14:textId="77777777" w:rsidR="0069677A" w:rsidRDefault="0069677A">
            <w:pPr>
              <w:spacing w:line="256" w:lineRule="auto"/>
              <w:rPr>
                <w:b/>
              </w:rPr>
            </w:pPr>
          </w:p>
        </w:tc>
        <w:tc>
          <w:tcPr>
            <w:tcW w:w="1003" w:type="dxa"/>
            <w:noWrap/>
            <w:tcMar>
              <w:top w:w="15" w:type="dxa"/>
              <w:left w:w="15" w:type="dxa"/>
              <w:bottom w:w="0" w:type="dxa"/>
              <w:right w:w="15" w:type="dxa"/>
            </w:tcMar>
            <w:vAlign w:val="bottom"/>
          </w:tcPr>
          <w:p w14:paraId="7A350171" w14:textId="77777777" w:rsidR="0069677A" w:rsidRDefault="0069677A">
            <w:pPr>
              <w:spacing w:line="256" w:lineRule="auto"/>
              <w:rPr>
                <w:b/>
              </w:rPr>
            </w:pPr>
          </w:p>
        </w:tc>
        <w:tc>
          <w:tcPr>
            <w:tcW w:w="1003" w:type="dxa"/>
            <w:noWrap/>
            <w:tcMar>
              <w:top w:w="15" w:type="dxa"/>
              <w:left w:w="15" w:type="dxa"/>
              <w:bottom w:w="0" w:type="dxa"/>
              <w:right w:w="15" w:type="dxa"/>
            </w:tcMar>
            <w:vAlign w:val="bottom"/>
          </w:tcPr>
          <w:p w14:paraId="5E8550D2" w14:textId="77777777" w:rsidR="0069677A" w:rsidRDefault="0069677A">
            <w:pPr>
              <w:spacing w:line="256" w:lineRule="auto"/>
            </w:pPr>
          </w:p>
        </w:tc>
      </w:tr>
      <w:tr w:rsidR="0069677A" w14:paraId="2B5B7E43" w14:textId="77777777">
        <w:trPr>
          <w:trHeight w:val="255"/>
        </w:trPr>
        <w:tc>
          <w:tcPr>
            <w:tcW w:w="5402" w:type="dxa"/>
            <w:noWrap/>
            <w:tcMar>
              <w:top w:w="15" w:type="dxa"/>
              <w:left w:w="15" w:type="dxa"/>
              <w:bottom w:w="0" w:type="dxa"/>
              <w:right w:w="15" w:type="dxa"/>
            </w:tcMar>
            <w:vAlign w:val="bottom"/>
            <w:hideMark/>
          </w:tcPr>
          <w:p w14:paraId="660FA43D" w14:textId="77777777" w:rsidR="0069677A" w:rsidRDefault="0069677A">
            <w:pPr>
              <w:spacing w:line="256" w:lineRule="auto"/>
              <w:rPr>
                <w:b/>
                <w:bCs/>
              </w:rPr>
            </w:pPr>
            <w:r>
              <w:rPr>
                <w:b/>
                <w:bCs/>
              </w:rPr>
              <w:t>TOTAL EQUITY AND LIABILITIES</w:t>
            </w:r>
          </w:p>
        </w:tc>
        <w:tc>
          <w:tcPr>
            <w:tcW w:w="1003" w:type="dxa"/>
          </w:tcPr>
          <w:p w14:paraId="011C9D3E" w14:textId="77777777" w:rsidR="0069677A" w:rsidRDefault="0069677A">
            <w:pPr>
              <w:spacing w:line="256" w:lineRule="auto"/>
            </w:pPr>
          </w:p>
        </w:tc>
        <w:tc>
          <w:tcPr>
            <w:tcW w:w="1003" w:type="dxa"/>
          </w:tcPr>
          <w:p w14:paraId="41C90846" w14:textId="77777777" w:rsidR="0069677A" w:rsidRDefault="0069677A">
            <w:pPr>
              <w:spacing w:line="256" w:lineRule="auto"/>
              <w:jc w:val="right"/>
              <w:rPr>
                <w:b/>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14:paraId="584F3A79" w14:textId="77777777" w:rsidR="0069677A" w:rsidRDefault="0069677A">
            <w:pPr>
              <w:spacing w:line="256" w:lineRule="auto"/>
              <w:jc w:val="right"/>
              <w:rPr>
                <w:b/>
              </w:rPr>
            </w:pPr>
            <w:r>
              <w:rPr>
                <w:b/>
              </w:rPr>
              <w:t>36,790</w:t>
            </w: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14:paraId="72831F7A" w14:textId="77777777" w:rsidR="0069677A" w:rsidRDefault="0069677A">
            <w:pPr>
              <w:spacing w:line="256" w:lineRule="auto"/>
              <w:jc w:val="right"/>
            </w:pPr>
            <w:r>
              <w:t>35,796</w:t>
            </w:r>
          </w:p>
        </w:tc>
      </w:tr>
      <w:tr w:rsidR="0069677A" w14:paraId="7A113D19" w14:textId="77777777">
        <w:trPr>
          <w:trHeight w:val="255"/>
        </w:trPr>
        <w:tc>
          <w:tcPr>
            <w:tcW w:w="5402" w:type="dxa"/>
            <w:noWrap/>
            <w:tcMar>
              <w:top w:w="15" w:type="dxa"/>
              <w:left w:w="15" w:type="dxa"/>
              <w:bottom w:w="0" w:type="dxa"/>
              <w:right w:w="15" w:type="dxa"/>
            </w:tcMar>
            <w:vAlign w:val="bottom"/>
          </w:tcPr>
          <w:p w14:paraId="70079C64" w14:textId="77777777" w:rsidR="0069677A" w:rsidRDefault="0069677A">
            <w:pPr>
              <w:spacing w:line="256" w:lineRule="auto"/>
              <w:rPr>
                <w:b/>
                <w:bCs/>
              </w:rPr>
            </w:pPr>
          </w:p>
        </w:tc>
        <w:tc>
          <w:tcPr>
            <w:tcW w:w="1003" w:type="dxa"/>
          </w:tcPr>
          <w:p w14:paraId="6F07902D" w14:textId="77777777" w:rsidR="0069677A" w:rsidRDefault="0069677A">
            <w:pPr>
              <w:spacing w:line="256" w:lineRule="auto"/>
            </w:pPr>
          </w:p>
        </w:tc>
        <w:tc>
          <w:tcPr>
            <w:tcW w:w="1003" w:type="dxa"/>
          </w:tcPr>
          <w:p w14:paraId="10330543" w14:textId="77777777" w:rsidR="0069677A" w:rsidRDefault="0069677A">
            <w:pPr>
              <w:spacing w:line="256" w:lineRule="auto"/>
              <w:rPr>
                <w:b/>
              </w:rPr>
            </w:pPr>
          </w:p>
        </w:tc>
        <w:tc>
          <w:tcPr>
            <w:tcW w:w="1003" w:type="dxa"/>
            <w:noWrap/>
            <w:tcMar>
              <w:top w:w="15" w:type="dxa"/>
              <w:left w:w="15" w:type="dxa"/>
              <w:bottom w:w="0" w:type="dxa"/>
              <w:right w:w="15" w:type="dxa"/>
            </w:tcMar>
            <w:vAlign w:val="bottom"/>
          </w:tcPr>
          <w:p w14:paraId="105D9902" w14:textId="77777777" w:rsidR="0069677A" w:rsidRDefault="0069677A">
            <w:pPr>
              <w:spacing w:line="256" w:lineRule="auto"/>
              <w:rPr>
                <w:b/>
              </w:rPr>
            </w:pPr>
          </w:p>
        </w:tc>
        <w:tc>
          <w:tcPr>
            <w:tcW w:w="1003" w:type="dxa"/>
            <w:noWrap/>
            <w:tcMar>
              <w:top w:w="15" w:type="dxa"/>
              <w:left w:w="15" w:type="dxa"/>
              <w:bottom w:w="0" w:type="dxa"/>
              <w:right w:w="15" w:type="dxa"/>
            </w:tcMar>
            <w:vAlign w:val="bottom"/>
          </w:tcPr>
          <w:p w14:paraId="71C3A802" w14:textId="77777777" w:rsidR="0069677A" w:rsidRDefault="0069677A">
            <w:pPr>
              <w:spacing w:line="256" w:lineRule="auto"/>
            </w:pPr>
          </w:p>
        </w:tc>
      </w:tr>
    </w:tbl>
    <w:p w14:paraId="0261E956" w14:textId="77777777" w:rsidR="0069677A" w:rsidRDefault="0069677A" w:rsidP="0069677A">
      <w:pPr>
        <w:pStyle w:val="Accountstext"/>
        <w:widowControl w:val="0"/>
        <w:tabs>
          <w:tab w:val="right" w:pos="5040"/>
        </w:tabs>
        <w:spacing w:line="228" w:lineRule="auto"/>
        <w:rPr>
          <w:rFonts w:ascii="Times New Roman" w:hAnsi="Times New Roman"/>
          <w:sz w:val="20"/>
        </w:rPr>
      </w:pPr>
    </w:p>
    <w:p w14:paraId="32736F72" w14:textId="38DDA8AF" w:rsidR="0069677A" w:rsidRPr="005B73B6" w:rsidRDefault="0069677A" w:rsidP="0069677A">
      <w:pPr>
        <w:pStyle w:val="Accountstext"/>
        <w:widowControl w:val="0"/>
        <w:spacing w:line="228" w:lineRule="auto"/>
        <w:rPr>
          <w:rFonts w:ascii="Arial" w:hAnsi="Arial" w:cs="Arial"/>
          <w:b/>
          <w:bCs/>
          <w:caps/>
          <w:color w:val="000000"/>
          <w:sz w:val="30"/>
          <w:szCs w:val="30"/>
          <w:lang w:eastAsia="en-GB"/>
        </w:rPr>
      </w:pPr>
      <w:r>
        <w:rPr>
          <w:sz w:val="24"/>
          <w:szCs w:val="24"/>
        </w:rPr>
        <w:br w:type="page"/>
      </w:r>
      <w:r w:rsidR="00921DCA">
        <w:rPr>
          <w:b/>
        </w:rPr>
        <w:lastRenderedPageBreak/>
        <w:t xml:space="preserve">        </w:t>
      </w:r>
    </w:p>
    <w:p w14:paraId="33B0038B" w14:textId="77777777" w:rsidR="0069677A" w:rsidRDefault="0069677A" w:rsidP="0069677A">
      <w:pPr>
        <w:widowControl w:val="0"/>
        <w:spacing w:line="216" w:lineRule="auto"/>
        <w:rPr>
          <w:rFonts w:ascii="Arial" w:hAnsi="Arial" w:cs="Arial"/>
          <w:b/>
          <w:bCs/>
          <w:caps/>
          <w:color w:val="000000"/>
          <w:sz w:val="30"/>
          <w:szCs w:val="30"/>
          <w:lang w:eastAsia="en-GB"/>
        </w:rPr>
      </w:pPr>
      <w:r>
        <w:rPr>
          <w:rFonts w:ascii="Arial" w:hAnsi="Arial" w:cs="Arial"/>
          <w:b/>
          <w:bCs/>
          <w:caps/>
          <w:color w:val="000000"/>
          <w:sz w:val="30"/>
          <w:szCs w:val="30"/>
          <w:lang w:eastAsia="en-GB"/>
        </w:rPr>
        <w:t>Consolidated Statement of Changes in Equity</w:t>
      </w:r>
    </w:p>
    <w:p w14:paraId="0284C7F6" w14:textId="77777777" w:rsidR="0069677A" w:rsidRDefault="0069677A" w:rsidP="0069677A">
      <w:pPr>
        <w:widowControl w:val="0"/>
        <w:spacing w:line="216" w:lineRule="auto"/>
        <w:rPr>
          <w:sz w:val="28"/>
          <w:szCs w:val="28"/>
        </w:rPr>
      </w:pPr>
    </w:p>
    <w:p w14:paraId="3AF7E163" w14:textId="77777777" w:rsidR="0069677A" w:rsidRDefault="0069677A" w:rsidP="0069677A">
      <w:pPr>
        <w:widowControl w:val="0"/>
        <w:spacing w:line="216" w:lineRule="auto"/>
        <w:rPr>
          <w:i/>
          <w:sz w:val="28"/>
          <w:szCs w:val="28"/>
        </w:rPr>
      </w:pPr>
      <w:r>
        <w:rPr>
          <w:i/>
          <w:sz w:val="28"/>
          <w:szCs w:val="28"/>
        </w:rPr>
        <w:t>For the financial year ended 31 December 2020</w:t>
      </w:r>
    </w:p>
    <w:tbl>
      <w:tblPr>
        <w:tblW w:w="8820" w:type="dxa"/>
        <w:tblLayout w:type="fixed"/>
        <w:tblCellMar>
          <w:left w:w="0" w:type="dxa"/>
          <w:right w:w="0" w:type="dxa"/>
        </w:tblCellMar>
        <w:tblLook w:val="04A0" w:firstRow="1" w:lastRow="0" w:firstColumn="1" w:lastColumn="0" w:noHBand="0" w:noVBand="1"/>
      </w:tblPr>
      <w:tblGrid>
        <w:gridCol w:w="3101"/>
        <w:gridCol w:w="738"/>
        <w:gridCol w:w="995"/>
        <w:gridCol w:w="1162"/>
        <w:gridCol w:w="997"/>
        <w:gridCol w:w="997"/>
        <w:gridCol w:w="830"/>
      </w:tblGrid>
      <w:tr w:rsidR="0069677A" w14:paraId="603F23B9" w14:textId="77777777" w:rsidTr="0069677A">
        <w:trPr>
          <w:trHeight w:val="365"/>
        </w:trPr>
        <w:tc>
          <w:tcPr>
            <w:tcW w:w="3100" w:type="dxa"/>
            <w:noWrap/>
            <w:tcMar>
              <w:top w:w="15" w:type="dxa"/>
              <w:left w:w="15" w:type="dxa"/>
              <w:bottom w:w="0" w:type="dxa"/>
              <w:right w:w="15" w:type="dxa"/>
            </w:tcMar>
            <w:vAlign w:val="bottom"/>
          </w:tcPr>
          <w:p w14:paraId="528E7592" w14:textId="77777777" w:rsidR="0069677A" w:rsidRDefault="0069677A">
            <w:pPr>
              <w:spacing w:line="256" w:lineRule="auto"/>
              <w:rPr>
                <w:rFonts w:eastAsia="Arial Unicode MS"/>
                <w:b/>
                <w:bCs/>
                <w:sz w:val="18"/>
                <w:szCs w:val="18"/>
              </w:rPr>
            </w:pPr>
          </w:p>
        </w:tc>
        <w:tc>
          <w:tcPr>
            <w:tcW w:w="738" w:type="dxa"/>
            <w:noWrap/>
            <w:tcMar>
              <w:top w:w="15" w:type="dxa"/>
              <w:left w:w="15" w:type="dxa"/>
              <w:bottom w:w="0" w:type="dxa"/>
              <w:right w:w="15" w:type="dxa"/>
            </w:tcMar>
            <w:vAlign w:val="bottom"/>
          </w:tcPr>
          <w:p w14:paraId="3E415461" w14:textId="77777777" w:rsidR="0069677A" w:rsidRDefault="0069677A">
            <w:pPr>
              <w:spacing w:line="256" w:lineRule="auto"/>
              <w:rPr>
                <w:rFonts w:eastAsia="Arial Unicode MS"/>
                <w:sz w:val="18"/>
                <w:szCs w:val="18"/>
              </w:rPr>
            </w:pPr>
          </w:p>
        </w:tc>
        <w:tc>
          <w:tcPr>
            <w:tcW w:w="995" w:type="dxa"/>
            <w:noWrap/>
            <w:tcMar>
              <w:top w:w="15" w:type="dxa"/>
              <w:left w:w="15" w:type="dxa"/>
              <w:bottom w:w="0" w:type="dxa"/>
              <w:right w:w="15" w:type="dxa"/>
            </w:tcMar>
            <w:vAlign w:val="bottom"/>
          </w:tcPr>
          <w:p w14:paraId="6B4EEE1E" w14:textId="77777777" w:rsidR="0069677A" w:rsidRDefault="0069677A">
            <w:pPr>
              <w:spacing w:line="256" w:lineRule="auto"/>
              <w:jc w:val="right"/>
              <w:rPr>
                <w:rFonts w:eastAsia="Arial Unicode MS"/>
                <w:b/>
                <w:bCs/>
                <w:sz w:val="18"/>
                <w:szCs w:val="18"/>
              </w:rPr>
            </w:pPr>
          </w:p>
        </w:tc>
        <w:tc>
          <w:tcPr>
            <w:tcW w:w="1162" w:type="dxa"/>
            <w:vAlign w:val="bottom"/>
          </w:tcPr>
          <w:p w14:paraId="4E11EFC8" w14:textId="77777777" w:rsidR="0069677A" w:rsidRDefault="0069677A">
            <w:pPr>
              <w:spacing w:line="256" w:lineRule="auto"/>
              <w:jc w:val="right"/>
              <w:rPr>
                <w:rFonts w:eastAsia="Arial Unicode MS"/>
                <w:b/>
                <w:bCs/>
                <w:sz w:val="18"/>
                <w:szCs w:val="18"/>
              </w:rPr>
            </w:pPr>
          </w:p>
        </w:tc>
        <w:tc>
          <w:tcPr>
            <w:tcW w:w="997" w:type="dxa"/>
            <w:vAlign w:val="bottom"/>
          </w:tcPr>
          <w:p w14:paraId="2128A14D" w14:textId="77777777" w:rsidR="0069677A" w:rsidRDefault="0069677A">
            <w:pPr>
              <w:spacing w:line="256" w:lineRule="auto"/>
              <w:jc w:val="right"/>
              <w:rPr>
                <w:rFonts w:eastAsia="Arial Unicode MS"/>
                <w:b/>
                <w:bCs/>
                <w:sz w:val="18"/>
                <w:szCs w:val="18"/>
              </w:rPr>
            </w:pPr>
          </w:p>
        </w:tc>
        <w:tc>
          <w:tcPr>
            <w:tcW w:w="997" w:type="dxa"/>
            <w:noWrap/>
            <w:tcMar>
              <w:top w:w="15" w:type="dxa"/>
              <w:left w:w="15" w:type="dxa"/>
              <w:bottom w:w="0" w:type="dxa"/>
              <w:right w:w="15" w:type="dxa"/>
            </w:tcMar>
            <w:vAlign w:val="bottom"/>
          </w:tcPr>
          <w:p w14:paraId="2EC0D20D" w14:textId="77777777" w:rsidR="0069677A" w:rsidRDefault="0069677A">
            <w:pPr>
              <w:spacing w:line="256" w:lineRule="auto"/>
              <w:jc w:val="right"/>
              <w:rPr>
                <w:rFonts w:eastAsia="Arial Unicode MS"/>
                <w:b/>
                <w:bCs/>
                <w:sz w:val="18"/>
                <w:szCs w:val="18"/>
              </w:rPr>
            </w:pPr>
          </w:p>
        </w:tc>
        <w:tc>
          <w:tcPr>
            <w:tcW w:w="830" w:type="dxa"/>
            <w:noWrap/>
            <w:tcMar>
              <w:top w:w="15" w:type="dxa"/>
              <w:left w:w="15" w:type="dxa"/>
              <w:bottom w:w="0" w:type="dxa"/>
              <w:right w:w="15" w:type="dxa"/>
            </w:tcMar>
            <w:vAlign w:val="bottom"/>
          </w:tcPr>
          <w:p w14:paraId="364716B6" w14:textId="77777777" w:rsidR="0069677A" w:rsidRDefault="0069677A">
            <w:pPr>
              <w:spacing w:line="256" w:lineRule="auto"/>
              <w:jc w:val="right"/>
              <w:rPr>
                <w:rFonts w:eastAsia="Arial Unicode MS"/>
                <w:b/>
                <w:bCs/>
                <w:sz w:val="18"/>
                <w:szCs w:val="18"/>
              </w:rPr>
            </w:pPr>
          </w:p>
        </w:tc>
      </w:tr>
      <w:tr w:rsidR="0069677A" w14:paraId="30EDF7C1" w14:textId="77777777" w:rsidTr="0069677A">
        <w:trPr>
          <w:trHeight w:val="365"/>
        </w:trPr>
        <w:tc>
          <w:tcPr>
            <w:tcW w:w="3100" w:type="dxa"/>
            <w:noWrap/>
            <w:tcMar>
              <w:top w:w="15" w:type="dxa"/>
              <w:left w:w="15" w:type="dxa"/>
              <w:bottom w:w="0" w:type="dxa"/>
              <w:right w:w="15" w:type="dxa"/>
            </w:tcMar>
            <w:vAlign w:val="bottom"/>
          </w:tcPr>
          <w:p w14:paraId="714A67B7" w14:textId="77777777" w:rsidR="0069677A" w:rsidRDefault="0069677A">
            <w:pPr>
              <w:spacing w:line="256" w:lineRule="auto"/>
              <w:rPr>
                <w:rFonts w:eastAsia="Arial Unicode MS"/>
                <w:b/>
                <w:bCs/>
                <w:sz w:val="18"/>
                <w:szCs w:val="18"/>
              </w:rPr>
            </w:pPr>
          </w:p>
        </w:tc>
        <w:tc>
          <w:tcPr>
            <w:tcW w:w="738" w:type="dxa"/>
            <w:noWrap/>
            <w:tcMar>
              <w:top w:w="15" w:type="dxa"/>
              <w:left w:w="15" w:type="dxa"/>
              <w:bottom w:w="0" w:type="dxa"/>
              <w:right w:w="15" w:type="dxa"/>
            </w:tcMar>
            <w:vAlign w:val="bottom"/>
          </w:tcPr>
          <w:p w14:paraId="4E79CCD1" w14:textId="77777777" w:rsidR="0069677A" w:rsidRDefault="0069677A">
            <w:pPr>
              <w:spacing w:line="256" w:lineRule="auto"/>
              <w:rPr>
                <w:rFonts w:eastAsia="Arial Unicode MS"/>
                <w:sz w:val="18"/>
                <w:szCs w:val="18"/>
              </w:rPr>
            </w:pPr>
          </w:p>
        </w:tc>
        <w:tc>
          <w:tcPr>
            <w:tcW w:w="995" w:type="dxa"/>
            <w:noWrap/>
            <w:tcMar>
              <w:top w:w="15" w:type="dxa"/>
              <w:left w:w="15" w:type="dxa"/>
              <w:bottom w:w="0" w:type="dxa"/>
              <w:right w:w="15" w:type="dxa"/>
            </w:tcMar>
            <w:vAlign w:val="bottom"/>
          </w:tcPr>
          <w:p w14:paraId="31B35926" w14:textId="77777777" w:rsidR="0069677A" w:rsidRDefault="0069677A">
            <w:pPr>
              <w:spacing w:line="256" w:lineRule="auto"/>
              <w:jc w:val="right"/>
              <w:rPr>
                <w:rFonts w:eastAsia="Arial Unicode MS"/>
                <w:b/>
                <w:bCs/>
                <w:sz w:val="18"/>
                <w:szCs w:val="18"/>
              </w:rPr>
            </w:pPr>
          </w:p>
        </w:tc>
        <w:tc>
          <w:tcPr>
            <w:tcW w:w="1162" w:type="dxa"/>
            <w:vAlign w:val="bottom"/>
          </w:tcPr>
          <w:p w14:paraId="486FDDDF" w14:textId="77777777" w:rsidR="0069677A" w:rsidRDefault="0069677A">
            <w:pPr>
              <w:spacing w:line="256" w:lineRule="auto"/>
              <w:jc w:val="right"/>
              <w:rPr>
                <w:rFonts w:eastAsia="Arial Unicode MS"/>
                <w:b/>
                <w:bCs/>
                <w:sz w:val="18"/>
                <w:szCs w:val="18"/>
              </w:rPr>
            </w:pPr>
          </w:p>
        </w:tc>
        <w:tc>
          <w:tcPr>
            <w:tcW w:w="997" w:type="dxa"/>
            <w:vAlign w:val="bottom"/>
          </w:tcPr>
          <w:p w14:paraId="069F9067" w14:textId="77777777" w:rsidR="0069677A" w:rsidRDefault="0069677A">
            <w:pPr>
              <w:spacing w:line="256" w:lineRule="auto"/>
              <w:jc w:val="right"/>
              <w:rPr>
                <w:rFonts w:eastAsia="Arial Unicode MS"/>
                <w:b/>
                <w:bCs/>
                <w:sz w:val="18"/>
                <w:szCs w:val="18"/>
              </w:rPr>
            </w:pPr>
          </w:p>
        </w:tc>
        <w:tc>
          <w:tcPr>
            <w:tcW w:w="997" w:type="dxa"/>
            <w:noWrap/>
            <w:tcMar>
              <w:top w:w="15" w:type="dxa"/>
              <w:left w:w="15" w:type="dxa"/>
              <w:bottom w:w="0" w:type="dxa"/>
              <w:right w:w="15" w:type="dxa"/>
            </w:tcMar>
            <w:vAlign w:val="bottom"/>
          </w:tcPr>
          <w:p w14:paraId="32737179" w14:textId="77777777" w:rsidR="0069677A" w:rsidRDefault="0069677A">
            <w:pPr>
              <w:spacing w:line="256" w:lineRule="auto"/>
              <w:jc w:val="right"/>
              <w:rPr>
                <w:rFonts w:eastAsia="Arial Unicode MS"/>
                <w:b/>
                <w:bCs/>
                <w:sz w:val="18"/>
                <w:szCs w:val="18"/>
              </w:rPr>
            </w:pPr>
          </w:p>
        </w:tc>
        <w:tc>
          <w:tcPr>
            <w:tcW w:w="830" w:type="dxa"/>
            <w:noWrap/>
            <w:tcMar>
              <w:top w:w="15" w:type="dxa"/>
              <w:left w:w="15" w:type="dxa"/>
              <w:bottom w:w="0" w:type="dxa"/>
              <w:right w:w="15" w:type="dxa"/>
            </w:tcMar>
            <w:vAlign w:val="bottom"/>
          </w:tcPr>
          <w:p w14:paraId="11D4EF53" w14:textId="77777777" w:rsidR="0069677A" w:rsidRDefault="0069677A">
            <w:pPr>
              <w:spacing w:line="256" w:lineRule="auto"/>
              <w:jc w:val="right"/>
              <w:rPr>
                <w:rFonts w:eastAsia="Arial Unicode MS"/>
                <w:b/>
                <w:bCs/>
                <w:sz w:val="18"/>
                <w:szCs w:val="18"/>
              </w:rPr>
            </w:pPr>
          </w:p>
        </w:tc>
      </w:tr>
      <w:tr w:rsidR="0069677A" w14:paraId="147B988A" w14:textId="77777777" w:rsidTr="0069677A">
        <w:trPr>
          <w:trHeight w:val="259"/>
        </w:trPr>
        <w:tc>
          <w:tcPr>
            <w:tcW w:w="3100" w:type="dxa"/>
            <w:noWrap/>
            <w:tcMar>
              <w:top w:w="15" w:type="dxa"/>
              <w:left w:w="15" w:type="dxa"/>
              <w:bottom w:w="0" w:type="dxa"/>
              <w:right w:w="15" w:type="dxa"/>
            </w:tcMar>
            <w:vAlign w:val="bottom"/>
          </w:tcPr>
          <w:p w14:paraId="34466E39" w14:textId="77777777" w:rsidR="0069677A" w:rsidRDefault="0069677A">
            <w:pPr>
              <w:spacing w:line="256" w:lineRule="auto"/>
              <w:rPr>
                <w:rFonts w:eastAsia="Arial Unicode MS"/>
                <w:b/>
                <w:bCs/>
                <w:sz w:val="18"/>
                <w:szCs w:val="18"/>
              </w:rPr>
            </w:pPr>
          </w:p>
        </w:tc>
        <w:tc>
          <w:tcPr>
            <w:tcW w:w="738" w:type="dxa"/>
            <w:noWrap/>
            <w:tcMar>
              <w:top w:w="15" w:type="dxa"/>
              <w:left w:w="15" w:type="dxa"/>
              <w:bottom w:w="0" w:type="dxa"/>
              <w:right w:w="15" w:type="dxa"/>
            </w:tcMar>
            <w:vAlign w:val="bottom"/>
            <w:hideMark/>
          </w:tcPr>
          <w:p w14:paraId="0CFF42A6" w14:textId="77777777" w:rsidR="0069677A" w:rsidRDefault="0069677A">
            <w:pPr>
              <w:spacing w:line="256" w:lineRule="auto"/>
              <w:jc w:val="right"/>
              <w:rPr>
                <w:rFonts w:eastAsia="Arial Unicode MS"/>
                <w:b/>
                <w:bCs/>
                <w:sz w:val="18"/>
                <w:szCs w:val="18"/>
              </w:rPr>
            </w:pPr>
            <w:r>
              <w:rPr>
                <w:b/>
                <w:bCs/>
                <w:sz w:val="18"/>
                <w:szCs w:val="18"/>
              </w:rPr>
              <w:t>Share</w:t>
            </w:r>
          </w:p>
        </w:tc>
        <w:tc>
          <w:tcPr>
            <w:tcW w:w="995" w:type="dxa"/>
            <w:noWrap/>
            <w:tcMar>
              <w:top w:w="15" w:type="dxa"/>
              <w:left w:w="15" w:type="dxa"/>
              <w:bottom w:w="0" w:type="dxa"/>
              <w:right w:w="15" w:type="dxa"/>
            </w:tcMar>
            <w:vAlign w:val="bottom"/>
            <w:hideMark/>
          </w:tcPr>
          <w:p w14:paraId="37AC87C9" w14:textId="77777777" w:rsidR="0069677A" w:rsidRDefault="0069677A">
            <w:pPr>
              <w:spacing w:line="256" w:lineRule="auto"/>
              <w:jc w:val="right"/>
              <w:rPr>
                <w:rFonts w:eastAsia="Arial Unicode MS"/>
                <w:b/>
                <w:bCs/>
                <w:sz w:val="18"/>
                <w:szCs w:val="18"/>
              </w:rPr>
            </w:pPr>
            <w:r>
              <w:rPr>
                <w:b/>
                <w:bCs/>
                <w:sz w:val="18"/>
                <w:szCs w:val="18"/>
              </w:rPr>
              <w:t xml:space="preserve">Share </w:t>
            </w:r>
          </w:p>
        </w:tc>
        <w:tc>
          <w:tcPr>
            <w:tcW w:w="1162" w:type="dxa"/>
            <w:vAlign w:val="bottom"/>
            <w:hideMark/>
          </w:tcPr>
          <w:p w14:paraId="70E20DAC" w14:textId="77777777" w:rsidR="0069677A" w:rsidRDefault="0069677A">
            <w:pPr>
              <w:spacing w:line="256" w:lineRule="auto"/>
              <w:jc w:val="right"/>
              <w:rPr>
                <w:b/>
                <w:bCs/>
                <w:sz w:val="18"/>
                <w:szCs w:val="18"/>
              </w:rPr>
            </w:pPr>
            <w:r>
              <w:rPr>
                <w:b/>
                <w:bCs/>
                <w:sz w:val="18"/>
                <w:szCs w:val="18"/>
              </w:rPr>
              <w:t>Other</w:t>
            </w:r>
          </w:p>
        </w:tc>
        <w:tc>
          <w:tcPr>
            <w:tcW w:w="997" w:type="dxa"/>
            <w:vAlign w:val="bottom"/>
            <w:hideMark/>
          </w:tcPr>
          <w:p w14:paraId="2B336FA7" w14:textId="77777777" w:rsidR="0069677A" w:rsidRDefault="0069677A">
            <w:pPr>
              <w:spacing w:line="256" w:lineRule="auto"/>
              <w:jc w:val="right"/>
              <w:rPr>
                <w:b/>
                <w:bCs/>
                <w:sz w:val="18"/>
                <w:szCs w:val="18"/>
              </w:rPr>
            </w:pPr>
            <w:r>
              <w:rPr>
                <w:b/>
                <w:bCs/>
                <w:sz w:val="18"/>
                <w:szCs w:val="18"/>
              </w:rPr>
              <w:t>Treasury</w:t>
            </w:r>
          </w:p>
        </w:tc>
        <w:tc>
          <w:tcPr>
            <w:tcW w:w="997" w:type="dxa"/>
            <w:noWrap/>
            <w:tcMar>
              <w:top w:w="15" w:type="dxa"/>
              <w:left w:w="15" w:type="dxa"/>
              <w:bottom w:w="0" w:type="dxa"/>
              <w:right w:w="15" w:type="dxa"/>
            </w:tcMar>
            <w:vAlign w:val="bottom"/>
            <w:hideMark/>
          </w:tcPr>
          <w:p w14:paraId="6F4F305C" w14:textId="77777777" w:rsidR="0069677A" w:rsidRDefault="0069677A">
            <w:pPr>
              <w:spacing w:line="256" w:lineRule="auto"/>
              <w:jc w:val="right"/>
              <w:rPr>
                <w:rFonts w:eastAsia="Arial Unicode MS"/>
                <w:b/>
                <w:bCs/>
                <w:sz w:val="18"/>
                <w:szCs w:val="18"/>
              </w:rPr>
            </w:pPr>
            <w:r>
              <w:rPr>
                <w:b/>
                <w:bCs/>
                <w:sz w:val="18"/>
                <w:szCs w:val="18"/>
              </w:rPr>
              <w:t xml:space="preserve">Retained </w:t>
            </w:r>
          </w:p>
        </w:tc>
        <w:tc>
          <w:tcPr>
            <w:tcW w:w="830" w:type="dxa"/>
            <w:noWrap/>
            <w:tcMar>
              <w:top w:w="15" w:type="dxa"/>
              <w:left w:w="15" w:type="dxa"/>
              <w:bottom w:w="0" w:type="dxa"/>
              <w:right w:w="15" w:type="dxa"/>
            </w:tcMar>
            <w:vAlign w:val="bottom"/>
          </w:tcPr>
          <w:p w14:paraId="4BFF1954" w14:textId="77777777" w:rsidR="0069677A" w:rsidRDefault="0069677A">
            <w:pPr>
              <w:spacing w:line="256" w:lineRule="auto"/>
              <w:jc w:val="right"/>
              <w:rPr>
                <w:rFonts w:eastAsia="Arial Unicode MS"/>
                <w:b/>
                <w:bCs/>
                <w:sz w:val="18"/>
                <w:szCs w:val="18"/>
              </w:rPr>
            </w:pPr>
          </w:p>
        </w:tc>
      </w:tr>
      <w:tr w:rsidR="0069677A" w14:paraId="46C736E6" w14:textId="77777777" w:rsidTr="0069677A">
        <w:trPr>
          <w:trHeight w:val="259"/>
        </w:trPr>
        <w:tc>
          <w:tcPr>
            <w:tcW w:w="3100" w:type="dxa"/>
            <w:noWrap/>
            <w:tcMar>
              <w:top w:w="15" w:type="dxa"/>
              <w:left w:w="15" w:type="dxa"/>
              <w:bottom w:w="0" w:type="dxa"/>
              <w:right w:w="15" w:type="dxa"/>
            </w:tcMar>
            <w:vAlign w:val="bottom"/>
          </w:tcPr>
          <w:p w14:paraId="6497A49F" w14:textId="77777777" w:rsidR="0069677A" w:rsidRDefault="0069677A">
            <w:pPr>
              <w:spacing w:line="256" w:lineRule="auto"/>
              <w:rPr>
                <w:rFonts w:eastAsia="Arial Unicode MS"/>
                <w:b/>
                <w:bCs/>
                <w:sz w:val="18"/>
                <w:szCs w:val="18"/>
              </w:rPr>
            </w:pPr>
          </w:p>
        </w:tc>
        <w:tc>
          <w:tcPr>
            <w:tcW w:w="738" w:type="dxa"/>
            <w:noWrap/>
            <w:tcMar>
              <w:top w:w="15" w:type="dxa"/>
              <w:left w:w="15" w:type="dxa"/>
              <w:bottom w:w="0" w:type="dxa"/>
              <w:right w:w="15" w:type="dxa"/>
            </w:tcMar>
            <w:vAlign w:val="bottom"/>
            <w:hideMark/>
          </w:tcPr>
          <w:p w14:paraId="28935456" w14:textId="77777777" w:rsidR="0069677A" w:rsidRDefault="0069677A">
            <w:pPr>
              <w:spacing w:line="256" w:lineRule="auto"/>
              <w:jc w:val="right"/>
              <w:rPr>
                <w:rFonts w:eastAsia="Arial Unicode MS"/>
                <w:b/>
                <w:bCs/>
                <w:sz w:val="18"/>
                <w:szCs w:val="18"/>
              </w:rPr>
            </w:pPr>
            <w:r>
              <w:rPr>
                <w:b/>
                <w:bCs/>
                <w:sz w:val="18"/>
                <w:szCs w:val="18"/>
              </w:rPr>
              <w:t>capital</w:t>
            </w:r>
          </w:p>
        </w:tc>
        <w:tc>
          <w:tcPr>
            <w:tcW w:w="995" w:type="dxa"/>
            <w:noWrap/>
            <w:tcMar>
              <w:top w:w="15" w:type="dxa"/>
              <w:left w:w="15" w:type="dxa"/>
              <w:bottom w:w="0" w:type="dxa"/>
              <w:right w:w="15" w:type="dxa"/>
            </w:tcMar>
            <w:vAlign w:val="bottom"/>
            <w:hideMark/>
          </w:tcPr>
          <w:p w14:paraId="37172249" w14:textId="77777777" w:rsidR="0069677A" w:rsidRDefault="0069677A">
            <w:pPr>
              <w:spacing w:line="256" w:lineRule="auto"/>
              <w:jc w:val="right"/>
              <w:rPr>
                <w:rFonts w:eastAsia="Arial Unicode MS"/>
                <w:b/>
                <w:bCs/>
                <w:sz w:val="18"/>
                <w:szCs w:val="18"/>
              </w:rPr>
            </w:pPr>
            <w:r>
              <w:rPr>
                <w:b/>
                <w:bCs/>
                <w:sz w:val="18"/>
                <w:szCs w:val="18"/>
              </w:rPr>
              <w:t>premium</w:t>
            </w:r>
          </w:p>
        </w:tc>
        <w:tc>
          <w:tcPr>
            <w:tcW w:w="1162" w:type="dxa"/>
            <w:vAlign w:val="bottom"/>
            <w:hideMark/>
          </w:tcPr>
          <w:p w14:paraId="0D8B2975" w14:textId="77777777" w:rsidR="0069677A" w:rsidRDefault="0069677A">
            <w:pPr>
              <w:spacing w:line="256" w:lineRule="auto"/>
              <w:jc w:val="right"/>
              <w:rPr>
                <w:b/>
                <w:bCs/>
                <w:sz w:val="18"/>
                <w:szCs w:val="18"/>
              </w:rPr>
            </w:pPr>
            <w:r>
              <w:rPr>
                <w:b/>
                <w:bCs/>
                <w:sz w:val="18"/>
                <w:szCs w:val="18"/>
              </w:rPr>
              <w:t>Reserves</w:t>
            </w:r>
          </w:p>
        </w:tc>
        <w:tc>
          <w:tcPr>
            <w:tcW w:w="997" w:type="dxa"/>
            <w:vAlign w:val="bottom"/>
            <w:hideMark/>
          </w:tcPr>
          <w:p w14:paraId="2EC2264D" w14:textId="77777777" w:rsidR="0069677A" w:rsidRDefault="0069677A">
            <w:pPr>
              <w:spacing w:line="256" w:lineRule="auto"/>
              <w:jc w:val="right"/>
              <w:rPr>
                <w:b/>
                <w:bCs/>
                <w:sz w:val="18"/>
                <w:szCs w:val="18"/>
              </w:rPr>
            </w:pPr>
            <w:r>
              <w:rPr>
                <w:b/>
                <w:bCs/>
                <w:sz w:val="18"/>
                <w:szCs w:val="18"/>
              </w:rPr>
              <w:t>shares</w:t>
            </w:r>
          </w:p>
        </w:tc>
        <w:tc>
          <w:tcPr>
            <w:tcW w:w="997" w:type="dxa"/>
            <w:noWrap/>
            <w:tcMar>
              <w:top w:w="15" w:type="dxa"/>
              <w:left w:w="15" w:type="dxa"/>
              <w:bottom w:w="0" w:type="dxa"/>
              <w:right w:w="15" w:type="dxa"/>
            </w:tcMar>
            <w:vAlign w:val="bottom"/>
            <w:hideMark/>
          </w:tcPr>
          <w:p w14:paraId="694425AC" w14:textId="77777777" w:rsidR="0069677A" w:rsidRDefault="0069677A">
            <w:pPr>
              <w:spacing w:line="256" w:lineRule="auto"/>
              <w:jc w:val="right"/>
              <w:rPr>
                <w:rFonts w:eastAsia="Arial Unicode MS"/>
                <w:b/>
                <w:bCs/>
                <w:sz w:val="18"/>
                <w:szCs w:val="18"/>
              </w:rPr>
            </w:pPr>
            <w:r>
              <w:rPr>
                <w:b/>
                <w:bCs/>
                <w:sz w:val="18"/>
                <w:szCs w:val="18"/>
              </w:rPr>
              <w:t>Earnings</w:t>
            </w:r>
          </w:p>
        </w:tc>
        <w:tc>
          <w:tcPr>
            <w:tcW w:w="830" w:type="dxa"/>
            <w:noWrap/>
            <w:tcMar>
              <w:top w:w="15" w:type="dxa"/>
              <w:left w:w="15" w:type="dxa"/>
              <w:bottom w:w="0" w:type="dxa"/>
              <w:right w:w="15" w:type="dxa"/>
            </w:tcMar>
            <w:vAlign w:val="bottom"/>
            <w:hideMark/>
          </w:tcPr>
          <w:p w14:paraId="76661F2F" w14:textId="77777777" w:rsidR="0069677A" w:rsidRDefault="0069677A">
            <w:pPr>
              <w:spacing w:line="256" w:lineRule="auto"/>
              <w:jc w:val="right"/>
              <w:rPr>
                <w:rFonts w:eastAsia="Arial Unicode MS"/>
                <w:b/>
                <w:bCs/>
                <w:sz w:val="18"/>
                <w:szCs w:val="18"/>
              </w:rPr>
            </w:pPr>
            <w:r>
              <w:rPr>
                <w:b/>
                <w:bCs/>
                <w:sz w:val="18"/>
                <w:szCs w:val="18"/>
              </w:rPr>
              <w:t>Total</w:t>
            </w:r>
          </w:p>
        </w:tc>
      </w:tr>
      <w:tr w:rsidR="0069677A" w14:paraId="0B965A99" w14:textId="77777777" w:rsidTr="0069677A">
        <w:trPr>
          <w:trHeight w:val="259"/>
        </w:trPr>
        <w:tc>
          <w:tcPr>
            <w:tcW w:w="3100" w:type="dxa"/>
            <w:noWrap/>
            <w:tcMar>
              <w:top w:w="15" w:type="dxa"/>
              <w:left w:w="15" w:type="dxa"/>
              <w:bottom w:w="0" w:type="dxa"/>
              <w:right w:w="15" w:type="dxa"/>
            </w:tcMar>
            <w:vAlign w:val="bottom"/>
          </w:tcPr>
          <w:p w14:paraId="6391F3E3" w14:textId="77777777" w:rsidR="0069677A" w:rsidRDefault="0069677A">
            <w:pPr>
              <w:spacing w:line="256" w:lineRule="auto"/>
              <w:rPr>
                <w:rFonts w:eastAsia="Arial Unicode MS"/>
                <w:sz w:val="18"/>
                <w:szCs w:val="18"/>
              </w:rPr>
            </w:pPr>
          </w:p>
        </w:tc>
        <w:tc>
          <w:tcPr>
            <w:tcW w:w="738" w:type="dxa"/>
            <w:noWrap/>
            <w:tcMar>
              <w:top w:w="15" w:type="dxa"/>
              <w:left w:w="15" w:type="dxa"/>
              <w:bottom w:w="0" w:type="dxa"/>
              <w:right w:w="15" w:type="dxa"/>
            </w:tcMar>
            <w:hideMark/>
          </w:tcPr>
          <w:p w14:paraId="71463F9A" w14:textId="77777777" w:rsidR="0069677A" w:rsidRDefault="0069677A">
            <w:pPr>
              <w:spacing w:line="256" w:lineRule="auto"/>
              <w:jc w:val="right"/>
              <w:rPr>
                <w:rFonts w:eastAsia="Arial Unicode MS"/>
                <w:b/>
                <w:bCs/>
                <w:sz w:val="18"/>
                <w:szCs w:val="18"/>
              </w:rPr>
            </w:pPr>
            <w:r>
              <w:rPr>
                <w:b/>
                <w:bCs/>
                <w:sz w:val="18"/>
                <w:szCs w:val="18"/>
              </w:rPr>
              <w:t>£'000</w:t>
            </w:r>
          </w:p>
        </w:tc>
        <w:tc>
          <w:tcPr>
            <w:tcW w:w="995" w:type="dxa"/>
            <w:noWrap/>
            <w:tcMar>
              <w:top w:w="15" w:type="dxa"/>
              <w:left w:w="15" w:type="dxa"/>
              <w:bottom w:w="0" w:type="dxa"/>
              <w:right w:w="15" w:type="dxa"/>
            </w:tcMar>
            <w:hideMark/>
          </w:tcPr>
          <w:p w14:paraId="2F02E59E" w14:textId="77777777" w:rsidR="0069677A" w:rsidRDefault="0069677A">
            <w:pPr>
              <w:spacing w:line="256" w:lineRule="auto"/>
              <w:jc w:val="right"/>
              <w:rPr>
                <w:rFonts w:eastAsia="Arial Unicode MS"/>
                <w:b/>
                <w:bCs/>
                <w:sz w:val="18"/>
                <w:szCs w:val="18"/>
              </w:rPr>
            </w:pPr>
            <w:r>
              <w:rPr>
                <w:b/>
                <w:bCs/>
                <w:sz w:val="18"/>
                <w:szCs w:val="18"/>
              </w:rPr>
              <w:t>£'000</w:t>
            </w:r>
          </w:p>
        </w:tc>
        <w:tc>
          <w:tcPr>
            <w:tcW w:w="1162" w:type="dxa"/>
            <w:hideMark/>
          </w:tcPr>
          <w:p w14:paraId="1D2F9CD1" w14:textId="77777777" w:rsidR="0069677A" w:rsidRDefault="0069677A">
            <w:pPr>
              <w:spacing w:line="256" w:lineRule="auto"/>
              <w:jc w:val="right"/>
              <w:rPr>
                <w:rFonts w:eastAsia="Arial Unicode MS"/>
                <w:b/>
                <w:bCs/>
                <w:sz w:val="18"/>
                <w:szCs w:val="18"/>
              </w:rPr>
            </w:pPr>
            <w:r>
              <w:rPr>
                <w:b/>
                <w:bCs/>
                <w:sz w:val="18"/>
                <w:szCs w:val="18"/>
              </w:rPr>
              <w:t>£'000</w:t>
            </w:r>
          </w:p>
        </w:tc>
        <w:tc>
          <w:tcPr>
            <w:tcW w:w="997" w:type="dxa"/>
            <w:hideMark/>
          </w:tcPr>
          <w:p w14:paraId="469FBD2A" w14:textId="77777777" w:rsidR="0069677A" w:rsidRDefault="0069677A">
            <w:pPr>
              <w:spacing w:line="256" w:lineRule="auto"/>
              <w:jc w:val="right"/>
              <w:rPr>
                <w:b/>
                <w:bCs/>
                <w:sz w:val="18"/>
                <w:szCs w:val="18"/>
              </w:rPr>
            </w:pPr>
            <w:r>
              <w:rPr>
                <w:b/>
                <w:bCs/>
                <w:sz w:val="18"/>
                <w:szCs w:val="18"/>
              </w:rPr>
              <w:t>£’000</w:t>
            </w:r>
          </w:p>
        </w:tc>
        <w:tc>
          <w:tcPr>
            <w:tcW w:w="997" w:type="dxa"/>
            <w:noWrap/>
            <w:tcMar>
              <w:top w:w="15" w:type="dxa"/>
              <w:left w:w="15" w:type="dxa"/>
              <w:bottom w:w="0" w:type="dxa"/>
              <w:right w:w="15" w:type="dxa"/>
            </w:tcMar>
            <w:hideMark/>
          </w:tcPr>
          <w:p w14:paraId="7928D9C8" w14:textId="77777777" w:rsidR="0069677A" w:rsidRDefault="0069677A">
            <w:pPr>
              <w:spacing w:line="256" w:lineRule="auto"/>
              <w:jc w:val="right"/>
              <w:rPr>
                <w:b/>
                <w:bCs/>
                <w:sz w:val="18"/>
                <w:szCs w:val="18"/>
              </w:rPr>
            </w:pPr>
            <w:r>
              <w:rPr>
                <w:b/>
                <w:bCs/>
                <w:sz w:val="18"/>
                <w:szCs w:val="18"/>
              </w:rPr>
              <w:t>£'000</w:t>
            </w:r>
            <w:r>
              <w:rPr>
                <w:rFonts w:eastAsia="Arial Unicode MS"/>
                <w:b/>
                <w:bCs/>
                <w:sz w:val="18"/>
                <w:szCs w:val="18"/>
              </w:rPr>
              <w:t xml:space="preserve"> </w:t>
            </w:r>
          </w:p>
        </w:tc>
        <w:tc>
          <w:tcPr>
            <w:tcW w:w="830" w:type="dxa"/>
            <w:noWrap/>
            <w:tcMar>
              <w:top w:w="15" w:type="dxa"/>
              <w:left w:w="15" w:type="dxa"/>
              <w:bottom w:w="0" w:type="dxa"/>
              <w:right w:w="15" w:type="dxa"/>
            </w:tcMar>
            <w:hideMark/>
          </w:tcPr>
          <w:p w14:paraId="2F37D295" w14:textId="77777777" w:rsidR="0069677A" w:rsidRDefault="0069677A">
            <w:pPr>
              <w:spacing w:line="256" w:lineRule="auto"/>
              <w:jc w:val="right"/>
              <w:rPr>
                <w:rFonts w:eastAsia="Arial Unicode MS"/>
                <w:b/>
                <w:bCs/>
                <w:sz w:val="18"/>
                <w:szCs w:val="18"/>
              </w:rPr>
            </w:pPr>
            <w:r>
              <w:rPr>
                <w:b/>
                <w:bCs/>
                <w:sz w:val="18"/>
                <w:szCs w:val="18"/>
              </w:rPr>
              <w:t>£'000</w:t>
            </w:r>
          </w:p>
        </w:tc>
      </w:tr>
      <w:tr w:rsidR="0069677A" w14:paraId="1BDD96A6" w14:textId="77777777" w:rsidTr="0069677A">
        <w:trPr>
          <w:trHeight w:val="259"/>
        </w:trPr>
        <w:tc>
          <w:tcPr>
            <w:tcW w:w="3100" w:type="dxa"/>
            <w:noWrap/>
            <w:tcMar>
              <w:top w:w="15" w:type="dxa"/>
              <w:left w:w="15" w:type="dxa"/>
              <w:bottom w:w="0" w:type="dxa"/>
              <w:right w:w="15" w:type="dxa"/>
            </w:tcMar>
            <w:vAlign w:val="bottom"/>
            <w:hideMark/>
          </w:tcPr>
          <w:p w14:paraId="221E6977" w14:textId="77777777" w:rsidR="0069677A" w:rsidRDefault="0069677A">
            <w:pPr>
              <w:spacing w:line="256" w:lineRule="auto"/>
              <w:rPr>
                <w:rFonts w:eastAsia="Arial Unicode MS"/>
                <w:b/>
                <w:sz w:val="18"/>
                <w:szCs w:val="18"/>
              </w:rPr>
            </w:pPr>
            <w:r>
              <w:rPr>
                <w:b/>
                <w:sz w:val="18"/>
                <w:szCs w:val="18"/>
              </w:rPr>
              <w:t>At 1 January 2019</w:t>
            </w:r>
          </w:p>
        </w:tc>
        <w:tc>
          <w:tcPr>
            <w:tcW w:w="738"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14:paraId="03C0B175" w14:textId="77777777" w:rsidR="0069677A" w:rsidRDefault="0069677A">
            <w:pPr>
              <w:spacing w:line="256" w:lineRule="auto"/>
              <w:jc w:val="right"/>
              <w:rPr>
                <w:rFonts w:eastAsia="Arial Unicode MS"/>
                <w:b/>
                <w:sz w:val="18"/>
                <w:szCs w:val="18"/>
              </w:rPr>
            </w:pPr>
            <w:r>
              <w:rPr>
                <w:rFonts w:eastAsia="Arial Unicode MS"/>
                <w:b/>
                <w:sz w:val="18"/>
                <w:szCs w:val="18"/>
              </w:rPr>
              <w:t>5,640</w:t>
            </w:r>
          </w:p>
        </w:tc>
        <w:tc>
          <w:tcPr>
            <w:tcW w:w="995"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14:paraId="126483F6" w14:textId="77777777" w:rsidR="0069677A" w:rsidRDefault="0069677A">
            <w:pPr>
              <w:spacing w:line="256" w:lineRule="auto"/>
              <w:jc w:val="right"/>
              <w:rPr>
                <w:rFonts w:eastAsia="Arial Unicode MS"/>
                <w:b/>
                <w:sz w:val="18"/>
                <w:szCs w:val="18"/>
              </w:rPr>
            </w:pPr>
            <w:r>
              <w:rPr>
                <w:rFonts w:eastAsia="Arial Unicode MS"/>
                <w:b/>
                <w:sz w:val="18"/>
                <w:szCs w:val="18"/>
              </w:rPr>
              <w:t>7,321</w:t>
            </w:r>
          </w:p>
        </w:tc>
        <w:tc>
          <w:tcPr>
            <w:tcW w:w="1162" w:type="dxa"/>
            <w:tcBorders>
              <w:top w:val="single" w:sz="4" w:space="0" w:color="auto"/>
              <w:left w:val="nil"/>
              <w:bottom w:val="single" w:sz="4" w:space="0" w:color="auto"/>
              <w:right w:val="nil"/>
            </w:tcBorders>
            <w:vAlign w:val="bottom"/>
            <w:hideMark/>
          </w:tcPr>
          <w:p w14:paraId="35273F85" w14:textId="77777777" w:rsidR="0069677A" w:rsidRDefault="0069677A">
            <w:pPr>
              <w:spacing w:line="256" w:lineRule="auto"/>
              <w:jc w:val="right"/>
              <w:rPr>
                <w:b/>
                <w:sz w:val="18"/>
                <w:szCs w:val="18"/>
              </w:rPr>
            </w:pPr>
            <w:r>
              <w:rPr>
                <w:b/>
                <w:sz w:val="18"/>
                <w:szCs w:val="18"/>
              </w:rPr>
              <w:t>103</w:t>
            </w:r>
          </w:p>
        </w:tc>
        <w:tc>
          <w:tcPr>
            <w:tcW w:w="997" w:type="dxa"/>
            <w:tcBorders>
              <w:top w:val="single" w:sz="4" w:space="0" w:color="auto"/>
              <w:left w:val="nil"/>
              <w:bottom w:val="single" w:sz="4" w:space="0" w:color="auto"/>
              <w:right w:val="nil"/>
            </w:tcBorders>
            <w:hideMark/>
          </w:tcPr>
          <w:p w14:paraId="3DBCB246" w14:textId="77777777" w:rsidR="0069677A" w:rsidRDefault="0069677A">
            <w:pPr>
              <w:spacing w:line="256" w:lineRule="auto"/>
              <w:jc w:val="right"/>
              <w:rPr>
                <w:rFonts w:eastAsia="Arial Unicode MS"/>
                <w:b/>
                <w:sz w:val="18"/>
                <w:szCs w:val="18"/>
              </w:rPr>
            </w:pPr>
            <w:r>
              <w:rPr>
                <w:rFonts w:eastAsia="Arial Unicode MS"/>
                <w:b/>
                <w:sz w:val="18"/>
                <w:szCs w:val="18"/>
              </w:rPr>
              <w:t>(563)</w:t>
            </w:r>
          </w:p>
        </w:tc>
        <w:tc>
          <w:tcPr>
            <w:tcW w:w="997"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14:paraId="0B1002EC" w14:textId="77777777" w:rsidR="0069677A" w:rsidRDefault="0069677A">
            <w:pPr>
              <w:spacing w:line="256" w:lineRule="auto"/>
              <w:jc w:val="right"/>
              <w:rPr>
                <w:rFonts w:eastAsia="Arial Unicode MS"/>
                <w:b/>
                <w:sz w:val="18"/>
                <w:szCs w:val="18"/>
              </w:rPr>
            </w:pPr>
            <w:r>
              <w:rPr>
                <w:rFonts w:eastAsia="Arial Unicode MS"/>
                <w:b/>
                <w:sz w:val="18"/>
                <w:szCs w:val="18"/>
              </w:rPr>
              <w:t>3,484</w:t>
            </w:r>
          </w:p>
        </w:tc>
        <w:tc>
          <w:tcPr>
            <w:tcW w:w="830"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14:paraId="004CC2E6" w14:textId="77777777" w:rsidR="0069677A" w:rsidRDefault="0069677A">
            <w:pPr>
              <w:spacing w:line="256" w:lineRule="auto"/>
              <w:jc w:val="right"/>
              <w:rPr>
                <w:rFonts w:eastAsia="Arial Unicode MS"/>
                <w:b/>
                <w:sz w:val="18"/>
                <w:szCs w:val="18"/>
              </w:rPr>
            </w:pPr>
            <w:r>
              <w:rPr>
                <w:rFonts w:eastAsia="Arial Unicode MS"/>
                <w:b/>
                <w:sz w:val="18"/>
                <w:szCs w:val="18"/>
              </w:rPr>
              <w:t>15,985</w:t>
            </w:r>
          </w:p>
        </w:tc>
      </w:tr>
      <w:tr w:rsidR="0069677A" w14:paraId="0A826E08" w14:textId="77777777" w:rsidTr="0069677A">
        <w:trPr>
          <w:trHeight w:val="66"/>
        </w:trPr>
        <w:tc>
          <w:tcPr>
            <w:tcW w:w="3100" w:type="dxa"/>
            <w:noWrap/>
            <w:tcMar>
              <w:top w:w="15" w:type="dxa"/>
              <w:left w:w="15" w:type="dxa"/>
              <w:bottom w:w="0" w:type="dxa"/>
              <w:right w:w="15" w:type="dxa"/>
            </w:tcMar>
            <w:vAlign w:val="bottom"/>
            <w:hideMark/>
          </w:tcPr>
          <w:p w14:paraId="1EE90E6A" w14:textId="77777777" w:rsidR="0069677A" w:rsidRDefault="0069677A">
            <w:pPr>
              <w:spacing w:line="256" w:lineRule="auto"/>
              <w:rPr>
                <w:rFonts w:eastAsia="Arial Unicode MS"/>
                <w:sz w:val="18"/>
                <w:szCs w:val="18"/>
              </w:rPr>
            </w:pPr>
            <w:r>
              <w:rPr>
                <w:sz w:val="18"/>
                <w:szCs w:val="18"/>
              </w:rPr>
              <w:t>Profit for the financial year</w:t>
            </w:r>
          </w:p>
        </w:tc>
        <w:tc>
          <w:tcPr>
            <w:tcW w:w="738"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6DDAAB88" w14:textId="77777777" w:rsidR="0069677A" w:rsidRDefault="0069677A">
            <w:pPr>
              <w:spacing w:line="256" w:lineRule="auto"/>
              <w:jc w:val="right"/>
              <w:rPr>
                <w:rFonts w:eastAsia="Arial Unicode MS"/>
                <w:sz w:val="18"/>
                <w:szCs w:val="18"/>
              </w:rPr>
            </w:pPr>
          </w:p>
          <w:p w14:paraId="78F374FE" w14:textId="77777777" w:rsidR="0069677A" w:rsidRDefault="0069677A">
            <w:pPr>
              <w:spacing w:line="256" w:lineRule="auto"/>
              <w:jc w:val="right"/>
              <w:rPr>
                <w:rFonts w:eastAsia="Arial Unicode MS"/>
                <w:sz w:val="18"/>
                <w:szCs w:val="18"/>
              </w:rPr>
            </w:pPr>
            <w:r>
              <w:rPr>
                <w:rFonts w:eastAsia="Arial Unicode MS"/>
                <w:sz w:val="18"/>
                <w:szCs w:val="18"/>
              </w:rPr>
              <w:t>-</w:t>
            </w:r>
          </w:p>
        </w:tc>
        <w:tc>
          <w:tcPr>
            <w:tcW w:w="995"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14:paraId="2EDC2664" w14:textId="77777777" w:rsidR="0069677A" w:rsidRDefault="0069677A">
            <w:pPr>
              <w:spacing w:line="256" w:lineRule="auto"/>
              <w:jc w:val="right"/>
              <w:rPr>
                <w:rFonts w:eastAsia="Arial Unicode MS"/>
                <w:sz w:val="18"/>
                <w:szCs w:val="18"/>
              </w:rPr>
            </w:pPr>
            <w:r>
              <w:rPr>
                <w:rFonts w:eastAsia="Arial Unicode MS"/>
                <w:sz w:val="18"/>
                <w:szCs w:val="18"/>
              </w:rPr>
              <w:t>-</w:t>
            </w:r>
          </w:p>
        </w:tc>
        <w:tc>
          <w:tcPr>
            <w:tcW w:w="1162" w:type="dxa"/>
            <w:tcBorders>
              <w:top w:val="single" w:sz="4" w:space="0" w:color="auto"/>
              <w:left w:val="nil"/>
              <w:bottom w:val="single" w:sz="4" w:space="0" w:color="auto"/>
              <w:right w:val="nil"/>
            </w:tcBorders>
            <w:vAlign w:val="bottom"/>
            <w:hideMark/>
          </w:tcPr>
          <w:p w14:paraId="4EB99661" w14:textId="77777777" w:rsidR="0069677A" w:rsidRDefault="0069677A">
            <w:pPr>
              <w:spacing w:line="256" w:lineRule="auto"/>
              <w:jc w:val="right"/>
              <w:rPr>
                <w:sz w:val="18"/>
                <w:szCs w:val="18"/>
              </w:rPr>
            </w:pPr>
            <w:r>
              <w:rPr>
                <w:sz w:val="18"/>
                <w:szCs w:val="18"/>
              </w:rPr>
              <w:t>-</w:t>
            </w:r>
          </w:p>
        </w:tc>
        <w:tc>
          <w:tcPr>
            <w:tcW w:w="997" w:type="dxa"/>
            <w:tcBorders>
              <w:top w:val="single" w:sz="4" w:space="0" w:color="auto"/>
              <w:left w:val="nil"/>
              <w:bottom w:val="single" w:sz="4" w:space="0" w:color="auto"/>
              <w:right w:val="nil"/>
            </w:tcBorders>
          </w:tcPr>
          <w:p w14:paraId="40CAEF17" w14:textId="77777777" w:rsidR="0069677A" w:rsidRDefault="0069677A">
            <w:pPr>
              <w:spacing w:line="256" w:lineRule="auto"/>
              <w:jc w:val="right"/>
              <w:rPr>
                <w:rFonts w:eastAsia="Arial Unicode MS"/>
                <w:sz w:val="18"/>
                <w:szCs w:val="18"/>
              </w:rPr>
            </w:pPr>
          </w:p>
          <w:p w14:paraId="444315C1" w14:textId="77777777" w:rsidR="0069677A" w:rsidRDefault="0069677A">
            <w:pPr>
              <w:spacing w:line="256" w:lineRule="auto"/>
              <w:jc w:val="right"/>
              <w:rPr>
                <w:rFonts w:eastAsia="Arial Unicode MS"/>
                <w:sz w:val="18"/>
                <w:szCs w:val="18"/>
              </w:rPr>
            </w:pPr>
            <w:r>
              <w:rPr>
                <w:rFonts w:eastAsia="Arial Unicode MS"/>
                <w:sz w:val="18"/>
                <w:szCs w:val="18"/>
              </w:rPr>
              <w:t>-</w:t>
            </w:r>
          </w:p>
        </w:tc>
        <w:tc>
          <w:tcPr>
            <w:tcW w:w="997"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14:paraId="5CA66321" w14:textId="77777777" w:rsidR="0069677A" w:rsidRDefault="0069677A">
            <w:pPr>
              <w:spacing w:line="256" w:lineRule="auto"/>
              <w:jc w:val="right"/>
              <w:rPr>
                <w:rFonts w:eastAsia="Arial Unicode MS"/>
                <w:sz w:val="18"/>
                <w:szCs w:val="18"/>
              </w:rPr>
            </w:pPr>
            <w:r>
              <w:rPr>
                <w:rFonts w:eastAsia="Arial Unicode MS"/>
                <w:sz w:val="18"/>
                <w:szCs w:val="18"/>
              </w:rPr>
              <w:t>1,841</w:t>
            </w:r>
          </w:p>
        </w:tc>
        <w:tc>
          <w:tcPr>
            <w:tcW w:w="830"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14:paraId="7635D6E8" w14:textId="77777777" w:rsidR="0069677A" w:rsidRDefault="0069677A">
            <w:pPr>
              <w:spacing w:line="256" w:lineRule="auto"/>
              <w:jc w:val="right"/>
              <w:rPr>
                <w:rFonts w:eastAsia="Arial Unicode MS"/>
                <w:sz w:val="18"/>
                <w:szCs w:val="18"/>
              </w:rPr>
            </w:pPr>
            <w:r>
              <w:rPr>
                <w:rFonts w:eastAsia="Arial Unicode MS"/>
                <w:sz w:val="18"/>
                <w:szCs w:val="18"/>
              </w:rPr>
              <w:t>1,841</w:t>
            </w:r>
          </w:p>
        </w:tc>
      </w:tr>
      <w:tr w:rsidR="0069677A" w14:paraId="31873CD1" w14:textId="77777777" w:rsidTr="0069677A">
        <w:trPr>
          <w:trHeight w:val="259"/>
        </w:trPr>
        <w:tc>
          <w:tcPr>
            <w:tcW w:w="3100" w:type="dxa"/>
            <w:noWrap/>
            <w:tcMar>
              <w:top w:w="15" w:type="dxa"/>
              <w:left w:w="15" w:type="dxa"/>
              <w:bottom w:w="0" w:type="dxa"/>
              <w:right w:w="15" w:type="dxa"/>
            </w:tcMar>
            <w:vAlign w:val="bottom"/>
          </w:tcPr>
          <w:p w14:paraId="48C3E42D" w14:textId="77777777" w:rsidR="0069677A" w:rsidRDefault="0069677A">
            <w:pPr>
              <w:spacing w:line="256" w:lineRule="auto"/>
              <w:rPr>
                <w:b/>
                <w:sz w:val="18"/>
                <w:szCs w:val="18"/>
              </w:rPr>
            </w:pPr>
          </w:p>
          <w:p w14:paraId="1E155FD3" w14:textId="77777777" w:rsidR="0069677A" w:rsidRDefault="0069677A">
            <w:pPr>
              <w:spacing w:line="256" w:lineRule="auto"/>
              <w:rPr>
                <w:b/>
                <w:sz w:val="18"/>
                <w:szCs w:val="18"/>
              </w:rPr>
            </w:pPr>
            <w:r>
              <w:rPr>
                <w:b/>
                <w:sz w:val="18"/>
                <w:szCs w:val="18"/>
              </w:rPr>
              <w:t>Total comprehensive income for the financial year</w:t>
            </w:r>
          </w:p>
        </w:tc>
        <w:tc>
          <w:tcPr>
            <w:tcW w:w="738" w:type="dxa"/>
            <w:tcBorders>
              <w:top w:val="single" w:sz="4" w:space="0" w:color="auto"/>
              <w:left w:val="nil"/>
              <w:bottom w:val="nil"/>
              <w:right w:val="nil"/>
            </w:tcBorders>
            <w:noWrap/>
            <w:tcMar>
              <w:top w:w="15" w:type="dxa"/>
              <w:left w:w="15" w:type="dxa"/>
              <w:bottom w:w="0" w:type="dxa"/>
              <w:right w:w="15" w:type="dxa"/>
            </w:tcMar>
            <w:vAlign w:val="bottom"/>
            <w:hideMark/>
          </w:tcPr>
          <w:p w14:paraId="3509F473" w14:textId="77777777" w:rsidR="0069677A" w:rsidRDefault="0069677A">
            <w:pPr>
              <w:spacing w:line="256" w:lineRule="auto"/>
              <w:jc w:val="right"/>
              <w:rPr>
                <w:rFonts w:eastAsia="Arial Unicode MS"/>
                <w:b/>
                <w:sz w:val="18"/>
                <w:szCs w:val="18"/>
              </w:rPr>
            </w:pPr>
            <w:r>
              <w:rPr>
                <w:rFonts w:eastAsia="Arial Unicode MS"/>
                <w:b/>
                <w:sz w:val="18"/>
                <w:szCs w:val="18"/>
              </w:rPr>
              <w:t>-</w:t>
            </w:r>
          </w:p>
        </w:tc>
        <w:tc>
          <w:tcPr>
            <w:tcW w:w="995" w:type="dxa"/>
            <w:tcBorders>
              <w:top w:val="single" w:sz="4" w:space="0" w:color="auto"/>
              <w:left w:val="nil"/>
              <w:bottom w:val="nil"/>
              <w:right w:val="nil"/>
            </w:tcBorders>
            <w:noWrap/>
            <w:tcMar>
              <w:top w:w="15" w:type="dxa"/>
              <w:left w:w="15" w:type="dxa"/>
              <w:bottom w:w="0" w:type="dxa"/>
              <w:right w:w="15" w:type="dxa"/>
            </w:tcMar>
            <w:vAlign w:val="bottom"/>
            <w:hideMark/>
          </w:tcPr>
          <w:p w14:paraId="59F3AE9A" w14:textId="77777777" w:rsidR="0069677A" w:rsidRDefault="0069677A">
            <w:pPr>
              <w:spacing w:line="256" w:lineRule="auto"/>
              <w:jc w:val="right"/>
              <w:rPr>
                <w:rFonts w:eastAsia="Arial Unicode MS"/>
                <w:b/>
                <w:sz w:val="18"/>
                <w:szCs w:val="18"/>
              </w:rPr>
            </w:pPr>
            <w:r>
              <w:rPr>
                <w:rFonts w:eastAsia="Arial Unicode MS"/>
                <w:b/>
                <w:sz w:val="18"/>
                <w:szCs w:val="18"/>
              </w:rPr>
              <w:t>-</w:t>
            </w:r>
          </w:p>
        </w:tc>
        <w:tc>
          <w:tcPr>
            <w:tcW w:w="1162" w:type="dxa"/>
            <w:tcBorders>
              <w:top w:val="single" w:sz="4" w:space="0" w:color="auto"/>
              <w:left w:val="nil"/>
              <w:bottom w:val="nil"/>
              <w:right w:val="nil"/>
            </w:tcBorders>
            <w:vAlign w:val="bottom"/>
            <w:hideMark/>
          </w:tcPr>
          <w:p w14:paraId="747E2714" w14:textId="77777777" w:rsidR="0069677A" w:rsidRDefault="0069677A">
            <w:pPr>
              <w:spacing w:line="256" w:lineRule="auto"/>
              <w:jc w:val="right"/>
              <w:rPr>
                <w:rFonts w:eastAsia="Arial Unicode MS"/>
                <w:b/>
                <w:sz w:val="18"/>
                <w:szCs w:val="18"/>
              </w:rPr>
            </w:pPr>
            <w:r>
              <w:rPr>
                <w:rFonts w:eastAsia="Arial Unicode MS"/>
                <w:b/>
                <w:sz w:val="18"/>
                <w:szCs w:val="18"/>
              </w:rPr>
              <w:t>-</w:t>
            </w:r>
          </w:p>
        </w:tc>
        <w:tc>
          <w:tcPr>
            <w:tcW w:w="997" w:type="dxa"/>
            <w:tcBorders>
              <w:top w:val="single" w:sz="4" w:space="0" w:color="auto"/>
              <w:left w:val="nil"/>
              <w:bottom w:val="nil"/>
              <w:right w:val="nil"/>
            </w:tcBorders>
            <w:vAlign w:val="bottom"/>
            <w:hideMark/>
          </w:tcPr>
          <w:p w14:paraId="26AE2201" w14:textId="77777777" w:rsidR="0069677A" w:rsidRDefault="0069677A">
            <w:pPr>
              <w:spacing w:line="256" w:lineRule="auto"/>
              <w:jc w:val="right"/>
              <w:rPr>
                <w:rFonts w:eastAsia="Arial Unicode MS"/>
                <w:b/>
                <w:sz w:val="18"/>
                <w:szCs w:val="18"/>
              </w:rPr>
            </w:pPr>
            <w:r>
              <w:rPr>
                <w:rFonts w:eastAsia="Arial Unicode MS"/>
                <w:b/>
                <w:sz w:val="18"/>
                <w:szCs w:val="18"/>
              </w:rPr>
              <w:t>-</w:t>
            </w:r>
          </w:p>
        </w:tc>
        <w:tc>
          <w:tcPr>
            <w:tcW w:w="997" w:type="dxa"/>
            <w:tcBorders>
              <w:top w:val="single" w:sz="4" w:space="0" w:color="auto"/>
              <w:left w:val="nil"/>
              <w:bottom w:val="nil"/>
              <w:right w:val="nil"/>
            </w:tcBorders>
            <w:noWrap/>
            <w:tcMar>
              <w:top w:w="15" w:type="dxa"/>
              <w:left w:w="15" w:type="dxa"/>
              <w:bottom w:w="0" w:type="dxa"/>
              <w:right w:w="15" w:type="dxa"/>
            </w:tcMar>
            <w:vAlign w:val="bottom"/>
            <w:hideMark/>
          </w:tcPr>
          <w:p w14:paraId="015B3E09" w14:textId="77777777" w:rsidR="0069677A" w:rsidRDefault="0069677A">
            <w:pPr>
              <w:spacing w:line="256" w:lineRule="auto"/>
              <w:jc w:val="right"/>
              <w:rPr>
                <w:rFonts w:eastAsia="Arial Unicode MS"/>
                <w:b/>
                <w:sz w:val="18"/>
                <w:szCs w:val="18"/>
              </w:rPr>
            </w:pPr>
            <w:r>
              <w:rPr>
                <w:rFonts w:eastAsia="Arial Unicode MS"/>
                <w:b/>
                <w:sz w:val="18"/>
                <w:szCs w:val="18"/>
              </w:rPr>
              <w:t>1,841</w:t>
            </w:r>
          </w:p>
        </w:tc>
        <w:tc>
          <w:tcPr>
            <w:tcW w:w="830" w:type="dxa"/>
            <w:tcBorders>
              <w:top w:val="single" w:sz="4" w:space="0" w:color="auto"/>
              <w:left w:val="nil"/>
              <w:bottom w:val="nil"/>
              <w:right w:val="nil"/>
            </w:tcBorders>
            <w:noWrap/>
            <w:tcMar>
              <w:top w:w="15" w:type="dxa"/>
              <w:left w:w="15" w:type="dxa"/>
              <w:bottom w:w="0" w:type="dxa"/>
              <w:right w:w="15" w:type="dxa"/>
            </w:tcMar>
            <w:vAlign w:val="bottom"/>
            <w:hideMark/>
          </w:tcPr>
          <w:p w14:paraId="24677F31" w14:textId="77777777" w:rsidR="0069677A" w:rsidRDefault="0069677A">
            <w:pPr>
              <w:spacing w:line="256" w:lineRule="auto"/>
              <w:jc w:val="right"/>
              <w:rPr>
                <w:rFonts w:eastAsia="Arial Unicode MS"/>
                <w:b/>
                <w:sz w:val="18"/>
                <w:szCs w:val="18"/>
              </w:rPr>
            </w:pPr>
            <w:r>
              <w:rPr>
                <w:rFonts w:eastAsia="Arial Unicode MS"/>
                <w:b/>
                <w:sz w:val="18"/>
                <w:szCs w:val="18"/>
              </w:rPr>
              <w:t>1,841</w:t>
            </w:r>
          </w:p>
        </w:tc>
      </w:tr>
      <w:tr w:rsidR="0069677A" w14:paraId="637FD2B7" w14:textId="77777777" w:rsidTr="0069677A">
        <w:trPr>
          <w:trHeight w:val="259"/>
        </w:trPr>
        <w:tc>
          <w:tcPr>
            <w:tcW w:w="3100" w:type="dxa"/>
            <w:noWrap/>
            <w:tcMar>
              <w:top w:w="15" w:type="dxa"/>
              <w:left w:w="15" w:type="dxa"/>
              <w:bottom w:w="0" w:type="dxa"/>
              <w:right w:w="15" w:type="dxa"/>
            </w:tcMar>
            <w:vAlign w:val="bottom"/>
            <w:hideMark/>
          </w:tcPr>
          <w:p w14:paraId="2C34DDE1" w14:textId="77777777" w:rsidR="0069677A" w:rsidRDefault="0069677A">
            <w:pPr>
              <w:spacing w:line="256" w:lineRule="auto"/>
              <w:rPr>
                <w:rFonts w:eastAsia="Arial Unicode MS"/>
                <w:sz w:val="18"/>
                <w:szCs w:val="18"/>
              </w:rPr>
            </w:pPr>
            <w:r>
              <w:rPr>
                <w:rFonts w:eastAsia="Arial Unicode MS"/>
                <w:sz w:val="18"/>
                <w:szCs w:val="18"/>
              </w:rPr>
              <w:t>Transfer of treasury shares</w:t>
            </w:r>
          </w:p>
        </w:tc>
        <w:tc>
          <w:tcPr>
            <w:tcW w:w="738" w:type="dxa"/>
            <w:noWrap/>
            <w:tcMar>
              <w:top w:w="15" w:type="dxa"/>
              <w:left w:w="15" w:type="dxa"/>
              <w:bottom w:w="0" w:type="dxa"/>
              <w:right w:w="15" w:type="dxa"/>
            </w:tcMar>
            <w:vAlign w:val="bottom"/>
            <w:hideMark/>
          </w:tcPr>
          <w:p w14:paraId="0330C890" w14:textId="77777777" w:rsidR="0069677A" w:rsidRDefault="0069677A">
            <w:pPr>
              <w:spacing w:line="256" w:lineRule="auto"/>
              <w:jc w:val="right"/>
              <w:rPr>
                <w:rFonts w:eastAsia="Arial Unicode MS"/>
                <w:sz w:val="18"/>
                <w:szCs w:val="18"/>
              </w:rPr>
            </w:pPr>
            <w:r>
              <w:rPr>
                <w:rFonts w:eastAsia="Arial Unicode MS"/>
                <w:sz w:val="18"/>
                <w:szCs w:val="18"/>
              </w:rPr>
              <w:t>-</w:t>
            </w:r>
          </w:p>
        </w:tc>
        <w:tc>
          <w:tcPr>
            <w:tcW w:w="995" w:type="dxa"/>
            <w:noWrap/>
            <w:tcMar>
              <w:top w:w="15" w:type="dxa"/>
              <w:left w:w="15" w:type="dxa"/>
              <w:bottom w:w="0" w:type="dxa"/>
              <w:right w:w="15" w:type="dxa"/>
            </w:tcMar>
            <w:vAlign w:val="bottom"/>
            <w:hideMark/>
          </w:tcPr>
          <w:p w14:paraId="018AE08B" w14:textId="77777777" w:rsidR="0069677A" w:rsidRDefault="0069677A">
            <w:pPr>
              <w:spacing w:line="256" w:lineRule="auto"/>
              <w:jc w:val="right"/>
              <w:rPr>
                <w:rFonts w:eastAsia="Arial Unicode MS"/>
                <w:sz w:val="18"/>
                <w:szCs w:val="18"/>
              </w:rPr>
            </w:pPr>
            <w:r>
              <w:rPr>
                <w:rFonts w:eastAsia="Arial Unicode MS"/>
                <w:sz w:val="18"/>
                <w:szCs w:val="18"/>
              </w:rPr>
              <w:t>-</w:t>
            </w:r>
          </w:p>
        </w:tc>
        <w:tc>
          <w:tcPr>
            <w:tcW w:w="1162" w:type="dxa"/>
            <w:vAlign w:val="bottom"/>
            <w:hideMark/>
          </w:tcPr>
          <w:p w14:paraId="47D4F460" w14:textId="77777777" w:rsidR="0069677A" w:rsidRDefault="0069677A">
            <w:pPr>
              <w:spacing w:line="256" w:lineRule="auto"/>
              <w:jc w:val="right"/>
              <w:rPr>
                <w:rFonts w:eastAsia="Arial Unicode MS"/>
                <w:sz w:val="18"/>
                <w:szCs w:val="18"/>
              </w:rPr>
            </w:pPr>
            <w:r>
              <w:rPr>
                <w:rFonts w:eastAsia="Arial Unicode MS"/>
                <w:sz w:val="18"/>
                <w:szCs w:val="18"/>
              </w:rPr>
              <w:t>-</w:t>
            </w:r>
          </w:p>
        </w:tc>
        <w:tc>
          <w:tcPr>
            <w:tcW w:w="997" w:type="dxa"/>
            <w:vAlign w:val="bottom"/>
            <w:hideMark/>
          </w:tcPr>
          <w:p w14:paraId="4FAFDEB9" w14:textId="77777777" w:rsidR="0069677A" w:rsidRDefault="0069677A">
            <w:pPr>
              <w:spacing w:line="256" w:lineRule="auto"/>
              <w:jc w:val="right"/>
              <w:rPr>
                <w:rFonts w:eastAsia="Arial Unicode MS"/>
                <w:sz w:val="18"/>
                <w:szCs w:val="18"/>
              </w:rPr>
            </w:pPr>
            <w:r>
              <w:rPr>
                <w:rFonts w:eastAsia="Arial Unicode MS"/>
                <w:sz w:val="18"/>
                <w:szCs w:val="18"/>
              </w:rPr>
              <w:t>563</w:t>
            </w:r>
          </w:p>
        </w:tc>
        <w:tc>
          <w:tcPr>
            <w:tcW w:w="997" w:type="dxa"/>
            <w:noWrap/>
            <w:tcMar>
              <w:top w:w="15" w:type="dxa"/>
              <w:left w:w="15" w:type="dxa"/>
              <w:bottom w:w="0" w:type="dxa"/>
              <w:right w:w="15" w:type="dxa"/>
            </w:tcMar>
            <w:vAlign w:val="bottom"/>
            <w:hideMark/>
          </w:tcPr>
          <w:p w14:paraId="29003813" w14:textId="77777777" w:rsidR="0069677A" w:rsidRDefault="0069677A">
            <w:pPr>
              <w:spacing w:line="256" w:lineRule="auto"/>
              <w:jc w:val="right"/>
              <w:rPr>
                <w:rFonts w:eastAsia="Arial Unicode MS"/>
                <w:sz w:val="18"/>
                <w:szCs w:val="18"/>
              </w:rPr>
            </w:pPr>
            <w:r>
              <w:rPr>
                <w:rFonts w:eastAsia="Arial Unicode MS"/>
                <w:sz w:val="18"/>
                <w:szCs w:val="18"/>
              </w:rPr>
              <w:t>(563)</w:t>
            </w:r>
          </w:p>
        </w:tc>
        <w:tc>
          <w:tcPr>
            <w:tcW w:w="830" w:type="dxa"/>
            <w:noWrap/>
            <w:tcMar>
              <w:top w:w="15" w:type="dxa"/>
              <w:left w:w="15" w:type="dxa"/>
              <w:bottom w:w="0" w:type="dxa"/>
              <w:right w:w="15" w:type="dxa"/>
            </w:tcMar>
            <w:vAlign w:val="bottom"/>
            <w:hideMark/>
          </w:tcPr>
          <w:p w14:paraId="0873F4B7" w14:textId="77777777" w:rsidR="0069677A" w:rsidRDefault="0069677A">
            <w:pPr>
              <w:spacing w:line="256" w:lineRule="auto"/>
              <w:jc w:val="right"/>
              <w:rPr>
                <w:rFonts w:eastAsia="Arial Unicode MS"/>
                <w:sz w:val="18"/>
                <w:szCs w:val="18"/>
              </w:rPr>
            </w:pPr>
            <w:r>
              <w:rPr>
                <w:rFonts w:eastAsia="Arial Unicode MS"/>
                <w:sz w:val="18"/>
                <w:szCs w:val="18"/>
              </w:rPr>
              <w:t>-</w:t>
            </w:r>
          </w:p>
        </w:tc>
      </w:tr>
      <w:tr w:rsidR="0069677A" w14:paraId="59658FC1" w14:textId="77777777" w:rsidTr="0069677A">
        <w:trPr>
          <w:trHeight w:val="259"/>
        </w:trPr>
        <w:tc>
          <w:tcPr>
            <w:tcW w:w="3100" w:type="dxa"/>
            <w:noWrap/>
            <w:tcMar>
              <w:top w:w="15" w:type="dxa"/>
              <w:left w:w="15" w:type="dxa"/>
              <w:bottom w:w="0" w:type="dxa"/>
              <w:right w:w="15" w:type="dxa"/>
            </w:tcMar>
            <w:vAlign w:val="bottom"/>
            <w:hideMark/>
          </w:tcPr>
          <w:p w14:paraId="39C3A633" w14:textId="77777777" w:rsidR="0069677A" w:rsidRDefault="0069677A">
            <w:pPr>
              <w:spacing w:line="256" w:lineRule="auto"/>
              <w:rPr>
                <w:rFonts w:eastAsia="Arial Unicode MS"/>
                <w:sz w:val="18"/>
                <w:szCs w:val="18"/>
              </w:rPr>
            </w:pPr>
            <w:r>
              <w:rPr>
                <w:sz w:val="18"/>
                <w:szCs w:val="18"/>
              </w:rPr>
              <w:t>Equity dividends paid</w:t>
            </w:r>
          </w:p>
        </w:tc>
        <w:tc>
          <w:tcPr>
            <w:tcW w:w="738" w:type="dxa"/>
            <w:noWrap/>
            <w:tcMar>
              <w:top w:w="15" w:type="dxa"/>
              <w:left w:w="15" w:type="dxa"/>
              <w:bottom w:w="0" w:type="dxa"/>
              <w:right w:w="15" w:type="dxa"/>
            </w:tcMar>
            <w:vAlign w:val="bottom"/>
            <w:hideMark/>
          </w:tcPr>
          <w:p w14:paraId="21CBC5B3" w14:textId="77777777" w:rsidR="0069677A" w:rsidRDefault="0069677A">
            <w:pPr>
              <w:spacing w:line="256" w:lineRule="auto"/>
              <w:jc w:val="right"/>
              <w:rPr>
                <w:rFonts w:eastAsia="Arial Unicode MS"/>
                <w:sz w:val="18"/>
                <w:szCs w:val="18"/>
              </w:rPr>
            </w:pPr>
            <w:r>
              <w:rPr>
                <w:rFonts w:eastAsia="Arial Unicode MS"/>
                <w:sz w:val="18"/>
                <w:szCs w:val="18"/>
              </w:rPr>
              <w:t>-</w:t>
            </w:r>
          </w:p>
        </w:tc>
        <w:tc>
          <w:tcPr>
            <w:tcW w:w="995" w:type="dxa"/>
            <w:noWrap/>
            <w:tcMar>
              <w:top w:w="15" w:type="dxa"/>
              <w:left w:w="15" w:type="dxa"/>
              <w:bottom w:w="0" w:type="dxa"/>
              <w:right w:w="15" w:type="dxa"/>
            </w:tcMar>
            <w:vAlign w:val="bottom"/>
            <w:hideMark/>
          </w:tcPr>
          <w:p w14:paraId="216C2F55" w14:textId="77777777" w:rsidR="0069677A" w:rsidRDefault="0069677A">
            <w:pPr>
              <w:spacing w:line="256" w:lineRule="auto"/>
              <w:jc w:val="right"/>
              <w:rPr>
                <w:rFonts w:eastAsia="Arial Unicode MS"/>
                <w:sz w:val="18"/>
                <w:szCs w:val="18"/>
              </w:rPr>
            </w:pPr>
            <w:r>
              <w:rPr>
                <w:rFonts w:eastAsia="Arial Unicode MS"/>
                <w:sz w:val="18"/>
                <w:szCs w:val="18"/>
              </w:rPr>
              <w:t>-</w:t>
            </w:r>
          </w:p>
        </w:tc>
        <w:tc>
          <w:tcPr>
            <w:tcW w:w="1162" w:type="dxa"/>
            <w:vAlign w:val="bottom"/>
            <w:hideMark/>
          </w:tcPr>
          <w:p w14:paraId="4E609869" w14:textId="77777777" w:rsidR="0069677A" w:rsidRDefault="0069677A">
            <w:pPr>
              <w:spacing w:line="256" w:lineRule="auto"/>
              <w:jc w:val="right"/>
              <w:rPr>
                <w:rFonts w:eastAsia="Arial Unicode MS"/>
                <w:sz w:val="18"/>
                <w:szCs w:val="18"/>
              </w:rPr>
            </w:pPr>
            <w:r>
              <w:rPr>
                <w:rFonts w:eastAsia="Arial Unicode MS"/>
                <w:sz w:val="18"/>
                <w:szCs w:val="18"/>
              </w:rPr>
              <w:t>-</w:t>
            </w:r>
          </w:p>
        </w:tc>
        <w:tc>
          <w:tcPr>
            <w:tcW w:w="997" w:type="dxa"/>
            <w:vAlign w:val="bottom"/>
            <w:hideMark/>
          </w:tcPr>
          <w:p w14:paraId="6AC3C763" w14:textId="77777777" w:rsidR="0069677A" w:rsidRDefault="0069677A">
            <w:pPr>
              <w:spacing w:line="256" w:lineRule="auto"/>
              <w:jc w:val="right"/>
              <w:rPr>
                <w:rFonts w:eastAsia="Arial Unicode MS"/>
                <w:sz w:val="18"/>
                <w:szCs w:val="18"/>
              </w:rPr>
            </w:pPr>
            <w:r>
              <w:rPr>
                <w:rFonts w:eastAsia="Arial Unicode MS"/>
                <w:sz w:val="18"/>
                <w:szCs w:val="18"/>
              </w:rPr>
              <w:t>-</w:t>
            </w:r>
          </w:p>
        </w:tc>
        <w:tc>
          <w:tcPr>
            <w:tcW w:w="997" w:type="dxa"/>
            <w:noWrap/>
            <w:tcMar>
              <w:top w:w="15" w:type="dxa"/>
              <w:left w:w="15" w:type="dxa"/>
              <w:bottom w:w="0" w:type="dxa"/>
              <w:right w:w="15" w:type="dxa"/>
            </w:tcMar>
            <w:vAlign w:val="bottom"/>
            <w:hideMark/>
          </w:tcPr>
          <w:p w14:paraId="73C51999" w14:textId="77777777" w:rsidR="0069677A" w:rsidRDefault="0069677A">
            <w:pPr>
              <w:spacing w:line="256" w:lineRule="auto"/>
              <w:jc w:val="right"/>
              <w:rPr>
                <w:rFonts w:eastAsia="Arial Unicode MS"/>
                <w:sz w:val="18"/>
                <w:szCs w:val="18"/>
              </w:rPr>
            </w:pPr>
            <w:r>
              <w:rPr>
                <w:rFonts w:eastAsia="Arial Unicode MS"/>
                <w:sz w:val="18"/>
                <w:szCs w:val="18"/>
              </w:rPr>
              <w:t>(449)</w:t>
            </w:r>
          </w:p>
        </w:tc>
        <w:tc>
          <w:tcPr>
            <w:tcW w:w="830" w:type="dxa"/>
            <w:noWrap/>
            <w:tcMar>
              <w:top w:w="15" w:type="dxa"/>
              <w:left w:w="15" w:type="dxa"/>
              <w:bottom w:w="0" w:type="dxa"/>
              <w:right w:w="15" w:type="dxa"/>
            </w:tcMar>
            <w:vAlign w:val="bottom"/>
            <w:hideMark/>
          </w:tcPr>
          <w:p w14:paraId="6B73ED5A" w14:textId="77777777" w:rsidR="0069677A" w:rsidRDefault="0069677A">
            <w:pPr>
              <w:spacing w:line="256" w:lineRule="auto"/>
              <w:jc w:val="right"/>
              <w:rPr>
                <w:rFonts w:eastAsia="Arial Unicode MS"/>
                <w:sz w:val="18"/>
                <w:szCs w:val="18"/>
              </w:rPr>
            </w:pPr>
            <w:r>
              <w:rPr>
                <w:rFonts w:eastAsia="Arial Unicode MS"/>
                <w:sz w:val="18"/>
                <w:szCs w:val="18"/>
              </w:rPr>
              <w:t>(449)</w:t>
            </w:r>
          </w:p>
        </w:tc>
      </w:tr>
      <w:tr w:rsidR="0069677A" w14:paraId="51AC2BA6" w14:textId="77777777" w:rsidTr="0069677A">
        <w:trPr>
          <w:trHeight w:val="259"/>
        </w:trPr>
        <w:tc>
          <w:tcPr>
            <w:tcW w:w="3100" w:type="dxa"/>
            <w:noWrap/>
            <w:tcMar>
              <w:top w:w="15" w:type="dxa"/>
              <w:left w:w="15" w:type="dxa"/>
              <w:bottom w:w="0" w:type="dxa"/>
              <w:right w:w="15" w:type="dxa"/>
            </w:tcMar>
            <w:vAlign w:val="bottom"/>
            <w:hideMark/>
          </w:tcPr>
          <w:p w14:paraId="2848B4E8" w14:textId="77777777" w:rsidR="0069677A" w:rsidRDefault="0069677A">
            <w:pPr>
              <w:spacing w:line="256" w:lineRule="auto"/>
              <w:rPr>
                <w:sz w:val="18"/>
                <w:szCs w:val="18"/>
              </w:rPr>
            </w:pPr>
            <w:r>
              <w:rPr>
                <w:sz w:val="18"/>
                <w:szCs w:val="18"/>
              </w:rPr>
              <w:t>Foreign exchange gain</w:t>
            </w:r>
          </w:p>
        </w:tc>
        <w:tc>
          <w:tcPr>
            <w:tcW w:w="738" w:type="dxa"/>
            <w:noWrap/>
            <w:tcMar>
              <w:top w:w="15" w:type="dxa"/>
              <w:left w:w="15" w:type="dxa"/>
              <w:bottom w:w="0" w:type="dxa"/>
              <w:right w:w="15" w:type="dxa"/>
            </w:tcMar>
            <w:vAlign w:val="bottom"/>
            <w:hideMark/>
          </w:tcPr>
          <w:p w14:paraId="0851014D" w14:textId="77777777" w:rsidR="0069677A" w:rsidRDefault="0069677A">
            <w:pPr>
              <w:spacing w:line="256" w:lineRule="auto"/>
              <w:jc w:val="right"/>
              <w:rPr>
                <w:rFonts w:eastAsia="Arial Unicode MS"/>
                <w:sz w:val="18"/>
                <w:szCs w:val="18"/>
              </w:rPr>
            </w:pPr>
            <w:r>
              <w:rPr>
                <w:rFonts w:eastAsia="Arial Unicode MS"/>
                <w:sz w:val="18"/>
                <w:szCs w:val="18"/>
              </w:rPr>
              <w:t>-</w:t>
            </w:r>
          </w:p>
        </w:tc>
        <w:tc>
          <w:tcPr>
            <w:tcW w:w="995" w:type="dxa"/>
            <w:noWrap/>
            <w:tcMar>
              <w:top w:w="15" w:type="dxa"/>
              <w:left w:w="15" w:type="dxa"/>
              <w:bottom w:w="0" w:type="dxa"/>
              <w:right w:w="15" w:type="dxa"/>
            </w:tcMar>
            <w:vAlign w:val="bottom"/>
            <w:hideMark/>
          </w:tcPr>
          <w:p w14:paraId="26AB925C" w14:textId="77777777" w:rsidR="0069677A" w:rsidRDefault="0069677A">
            <w:pPr>
              <w:spacing w:line="256" w:lineRule="auto"/>
              <w:jc w:val="right"/>
              <w:rPr>
                <w:rFonts w:eastAsia="Arial Unicode MS"/>
                <w:sz w:val="18"/>
                <w:szCs w:val="18"/>
              </w:rPr>
            </w:pPr>
            <w:r>
              <w:rPr>
                <w:rFonts w:eastAsia="Arial Unicode MS"/>
                <w:sz w:val="18"/>
                <w:szCs w:val="18"/>
              </w:rPr>
              <w:t>-</w:t>
            </w:r>
          </w:p>
        </w:tc>
        <w:tc>
          <w:tcPr>
            <w:tcW w:w="1162" w:type="dxa"/>
            <w:vAlign w:val="bottom"/>
            <w:hideMark/>
          </w:tcPr>
          <w:p w14:paraId="1F1A8D6B" w14:textId="77777777" w:rsidR="0069677A" w:rsidRDefault="0069677A">
            <w:pPr>
              <w:spacing w:line="256" w:lineRule="auto"/>
              <w:jc w:val="right"/>
              <w:rPr>
                <w:rFonts w:eastAsia="Arial Unicode MS"/>
                <w:sz w:val="18"/>
                <w:szCs w:val="18"/>
              </w:rPr>
            </w:pPr>
            <w:r>
              <w:rPr>
                <w:rFonts w:eastAsia="Arial Unicode MS"/>
                <w:sz w:val="18"/>
                <w:szCs w:val="18"/>
              </w:rPr>
              <w:t>(124)</w:t>
            </w:r>
          </w:p>
        </w:tc>
        <w:tc>
          <w:tcPr>
            <w:tcW w:w="997" w:type="dxa"/>
            <w:vAlign w:val="bottom"/>
            <w:hideMark/>
          </w:tcPr>
          <w:p w14:paraId="58B00BF9" w14:textId="77777777" w:rsidR="0069677A" w:rsidRDefault="0069677A">
            <w:pPr>
              <w:spacing w:line="256" w:lineRule="auto"/>
              <w:jc w:val="right"/>
              <w:rPr>
                <w:rFonts w:eastAsia="Arial Unicode MS"/>
                <w:sz w:val="18"/>
                <w:szCs w:val="18"/>
              </w:rPr>
            </w:pPr>
            <w:r>
              <w:rPr>
                <w:rFonts w:eastAsia="Arial Unicode MS"/>
                <w:sz w:val="18"/>
                <w:szCs w:val="18"/>
              </w:rPr>
              <w:t>-</w:t>
            </w:r>
          </w:p>
        </w:tc>
        <w:tc>
          <w:tcPr>
            <w:tcW w:w="997" w:type="dxa"/>
            <w:noWrap/>
            <w:tcMar>
              <w:top w:w="15" w:type="dxa"/>
              <w:left w:w="15" w:type="dxa"/>
              <w:bottom w:w="0" w:type="dxa"/>
              <w:right w:w="15" w:type="dxa"/>
            </w:tcMar>
            <w:vAlign w:val="bottom"/>
            <w:hideMark/>
          </w:tcPr>
          <w:p w14:paraId="74C841F2" w14:textId="77777777" w:rsidR="0069677A" w:rsidRDefault="0069677A">
            <w:pPr>
              <w:spacing w:line="256" w:lineRule="auto"/>
              <w:jc w:val="right"/>
              <w:rPr>
                <w:rFonts w:eastAsia="Arial Unicode MS"/>
                <w:sz w:val="18"/>
                <w:szCs w:val="18"/>
              </w:rPr>
            </w:pPr>
            <w:r>
              <w:rPr>
                <w:rFonts w:eastAsia="Arial Unicode MS"/>
                <w:sz w:val="18"/>
                <w:szCs w:val="18"/>
              </w:rPr>
              <w:t>-</w:t>
            </w:r>
          </w:p>
        </w:tc>
        <w:tc>
          <w:tcPr>
            <w:tcW w:w="830" w:type="dxa"/>
            <w:noWrap/>
            <w:tcMar>
              <w:top w:w="15" w:type="dxa"/>
              <w:left w:w="15" w:type="dxa"/>
              <w:bottom w:w="0" w:type="dxa"/>
              <w:right w:w="15" w:type="dxa"/>
            </w:tcMar>
            <w:vAlign w:val="bottom"/>
            <w:hideMark/>
          </w:tcPr>
          <w:p w14:paraId="4196CFBC" w14:textId="77777777" w:rsidR="0069677A" w:rsidRDefault="0069677A">
            <w:pPr>
              <w:spacing w:line="256" w:lineRule="auto"/>
              <w:jc w:val="right"/>
              <w:rPr>
                <w:rFonts w:eastAsia="Arial Unicode MS"/>
                <w:sz w:val="18"/>
                <w:szCs w:val="18"/>
              </w:rPr>
            </w:pPr>
            <w:r>
              <w:rPr>
                <w:rFonts w:eastAsia="Arial Unicode MS"/>
                <w:sz w:val="18"/>
                <w:szCs w:val="18"/>
              </w:rPr>
              <w:t>(124)</w:t>
            </w:r>
          </w:p>
        </w:tc>
      </w:tr>
      <w:tr w:rsidR="0069677A" w14:paraId="70F67B9B" w14:textId="77777777" w:rsidTr="0069677A">
        <w:trPr>
          <w:trHeight w:val="259"/>
        </w:trPr>
        <w:tc>
          <w:tcPr>
            <w:tcW w:w="3100" w:type="dxa"/>
            <w:noWrap/>
            <w:tcMar>
              <w:top w:w="15" w:type="dxa"/>
              <w:left w:w="15" w:type="dxa"/>
              <w:bottom w:w="0" w:type="dxa"/>
              <w:right w:w="15" w:type="dxa"/>
            </w:tcMar>
            <w:vAlign w:val="bottom"/>
          </w:tcPr>
          <w:p w14:paraId="55135CAA" w14:textId="77777777" w:rsidR="0069677A" w:rsidRDefault="0069677A">
            <w:pPr>
              <w:spacing w:line="256" w:lineRule="auto"/>
              <w:rPr>
                <w:sz w:val="18"/>
                <w:szCs w:val="18"/>
              </w:rPr>
            </w:pPr>
          </w:p>
        </w:tc>
        <w:tc>
          <w:tcPr>
            <w:tcW w:w="738" w:type="dxa"/>
            <w:noWrap/>
            <w:tcMar>
              <w:top w:w="15" w:type="dxa"/>
              <w:left w:w="15" w:type="dxa"/>
              <w:bottom w:w="0" w:type="dxa"/>
              <w:right w:w="15" w:type="dxa"/>
            </w:tcMar>
            <w:vAlign w:val="bottom"/>
          </w:tcPr>
          <w:p w14:paraId="62D6CC08" w14:textId="77777777" w:rsidR="0069677A" w:rsidRDefault="0069677A">
            <w:pPr>
              <w:spacing w:line="256" w:lineRule="auto"/>
              <w:jc w:val="right"/>
              <w:rPr>
                <w:rFonts w:eastAsia="Arial Unicode MS"/>
                <w:sz w:val="18"/>
                <w:szCs w:val="18"/>
              </w:rPr>
            </w:pPr>
          </w:p>
        </w:tc>
        <w:tc>
          <w:tcPr>
            <w:tcW w:w="995" w:type="dxa"/>
            <w:noWrap/>
            <w:tcMar>
              <w:top w:w="15" w:type="dxa"/>
              <w:left w:w="15" w:type="dxa"/>
              <w:bottom w:w="0" w:type="dxa"/>
              <w:right w:w="15" w:type="dxa"/>
            </w:tcMar>
            <w:vAlign w:val="bottom"/>
          </w:tcPr>
          <w:p w14:paraId="655E4CC9" w14:textId="77777777" w:rsidR="0069677A" w:rsidRDefault="0069677A">
            <w:pPr>
              <w:spacing w:line="256" w:lineRule="auto"/>
              <w:jc w:val="right"/>
              <w:rPr>
                <w:rFonts w:eastAsia="Arial Unicode MS"/>
                <w:sz w:val="18"/>
                <w:szCs w:val="18"/>
              </w:rPr>
            </w:pPr>
          </w:p>
        </w:tc>
        <w:tc>
          <w:tcPr>
            <w:tcW w:w="1162" w:type="dxa"/>
            <w:vAlign w:val="bottom"/>
          </w:tcPr>
          <w:p w14:paraId="6DB49ADA" w14:textId="77777777" w:rsidR="0069677A" w:rsidRDefault="0069677A">
            <w:pPr>
              <w:spacing w:line="256" w:lineRule="auto"/>
              <w:jc w:val="right"/>
              <w:rPr>
                <w:rFonts w:eastAsia="Arial Unicode MS"/>
                <w:sz w:val="18"/>
                <w:szCs w:val="18"/>
              </w:rPr>
            </w:pPr>
          </w:p>
        </w:tc>
        <w:tc>
          <w:tcPr>
            <w:tcW w:w="997" w:type="dxa"/>
            <w:vAlign w:val="bottom"/>
          </w:tcPr>
          <w:p w14:paraId="44A5833F" w14:textId="77777777" w:rsidR="0069677A" w:rsidRDefault="0069677A">
            <w:pPr>
              <w:spacing w:line="256" w:lineRule="auto"/>
              <w:jc w:val="right"/>
              <w:rPr>
                <w:rFonts w:eastAsia="Arial Unicode MS"/>
                <w:sz w:val="18"/>
                <w:szCs w:val="18"/>
              </w:rPr>
            </w:pPr>
          </w:p>
        </w:tc>
        <w:tc>
          <w:tcPr>
            <w:tcW w:w="997" w:type="dxa"/>
            <w:noWrap/>
            <w:tcMar>
              <w:top w:w="15" w:type="dxa"/>
              <w:left w:w="15" w:type="dxa"/>
              <w:bottom w:w="0" w:type="dxa"/>
              <w:right w:w="15" w:type="dxa"/>
            </w:tcMar>
            <w:vAlign w:val="bottom"/>
          </w:tcPr>
          <w:p w14:paraId="1CA8F103" w14:textId="77777777" w:rsidR="0069677A" w:rsidRDefault="0069677A">
            <w:pPr>
              <w:spacing w:line="256" w:lineRule="auto"/>
              <w:jc w:val="right"/>
              <w:rPr>
                <w:rFonts w:eastAsia="Arial Unicode MS"/>
                <w:sz w:val="18"/>
                <w:szCs w:val="18"/>
              </w:rPr>
            </w:pPr>
          </w:p>
        </w:tc>
        <w:tc>
          <w:tcPr>
            <w:tcW w:w="830" w:type="dxa"/>
            <w:noWrap/>
            <w:tcMar>
              <w:top w:w="15" w:type="dxa"/>
              <w:left w:w="15" w:type="dxa"/>
              <w:bottom w:w="0" w:type="dxa"/>
              <w:right w:w="15" w:type="dxa"/>
            </w:tcMar>
            <w:vAlign w:val="bottom"/>
          </w:tcPr>
          <w:p w14:paraId="1832D3DD" w14:textId="77777777" w:rsidR="0069677A" w:rsidRDefault="0069677A">
            <w:pPr>
              <w:spacing w:line="256" w:lineRule="auto"/>
              <w:jc w:val="right"/>
              <w:rPr>
                <w:rFonts w:eastAsia="Arial Unicode MS"/>
                <w:sz w:val="18"/>
                <w:szCs w:val="18"/>
              </w:rPr>
            </w:pPr>
          </w:p>
        </w:tc>
      </w:tr>
      <w:tr w:rsidR="0069677A" w14:paraId="25865B61" w14:textId="77777777" w:rsidTr="0069677A">
        <w:trPr>
          <w:trHeight w:val="259"/>
        </w:trPr>
        <w:tc>
          <w:tcPr>
            <w:tcW w:w="3100" w:type="dxa"/>
            <w:noWrap/>
            <w:tcMar>
              <w:top w:w="15" w:type="dxa"/>
              <w:left w:w="15" w:type="dxa"/>
              <w:bottom w:w="0" w:type="dxa"/>
              <w:right w:w="15" w:type="dxa"/>
            </w:tcMar>
            <w:vAlign w:val="bottom"/>
            <w:hideMark/>
          </w:tcPr>
          <w:p w14:paraId="3AF0DD99" w14:textId="77777777" w:rsidR="0069677A" w:rsidRDefault="0069677A">
            <w:pPr>
              <w:spacing w:line="256" w:lineRule="auto"/>
              <w:rPr>
                <w:b/>
                <w:sz w:val="18"/>
                <w:szCs w:val="18"/>
              </w:rPr>
            </w:pPr>
            <w:r>
              <w:rPr>
                <w:b/>
                <w:sz w:val="18"/>
                <w:szCs w:val="18"/>
              </w:rPr>
              <w:t>Transactions with owners</w:t>
            </w:r>
          </w:p>
        </w:tc>
        <w:tc>
          <w:tcPr>
            <w:tcW w:w="738" w:type="dxa"/>
            <w:tcBorders>
              <w:top w:val="single" w:sz="4" w:space="0" w:color="auto"/>
              <w:left w:val="nil"/>
              <w:bottom w:val="nil"/>
              <w:right w:val="nil"/>
            </w:tcBorders>
            <w:noWrap/>
            <w:tcMar>
              <w:top w:w="15" w:type="dxa"/>
              <w:left w:w="15" w:type="dxa"/>
              <w:bottom w:w="0" w:type="dxa"/>
              <w:right w:w="15" w:type="dxa"/>
            </w:tcMar>
            <w:vAlign w:val="bottom"/>
            <w:hideMark/>
          </w:tcPr>
          <w:p w14:paraId="45720CD3" w14:textId="77777777" w:rsidR="0069677A" w:rsidRDefault="0069677A">
            <w:pPr>
              <w:spacing w:line="256" w:lineRule="auto"/>
              <w:jc w:val="right"/>
              <w:rPr>
                <w:rFonts w:eastAsia="Arial Unicode MS"/>
                <w:b/>
                <w:sz w:val="18"/>
                <w:szCs w:val="18"/>
              </w:rPr>
            </w:pPr>
            <w:r>
              <w:rPr>
                <w:rFonts w:eastAsia="Arial Unicode MS"/>
                <w:b/>
                <w:sz w:val="18"/>
                <w:szCs w:val="18"/>
              </w:rPr>
              <w:t>-</w:t>
            </w:r>
          </w:p>
        </w:tc>
        <w:tc>
          <w:tcPr>
            <w:tcW w:w="995" w:type="dxa"/>
            <w:tcBorders>
              <w:top w:val="single" w:sz="4" w:space="0" w:color="auto"/>
              <w:left w:val="nil"/>
              <w:bottom w:val="nil"/>
              <w:right w:val="nil"/>
            </w:tcBorders>
            <w:noWrap/>
            <w:tcMar>
              <w:top w:w="15" w:type="dxa"/>
              <w:left w:w="15" w:type="dxa"/>
              <w:bottom w:w="0" w:type="dxa"/>
              <w:right w:w="15" w:type="dxa"/>
            </w:tcMar>
            <w:vAlign w:val="bottom"/>
            <w:hideMark/>
          </w:tcPr>
          <w:p w14:paraId="4362D71D" w14:textId="77777777" w:rsidR="0069677A" w:rsidRDefault="0069677A">
            <w:pPr>
              <w:spacing w:line="256" w:lineRule="auto"/>
              <w:jc w:val="right"/>
              <w:rPr>
                <w:rFonts w:eastAsia="Arial Unicode MS"/>
                <w:b/>
                <w:sz w:val="18"/>
                <w:szCs w:val="18"/>
              </w:rPr>
            </w:pPr>
            <w:r>
              <w:rPr>
                <w:rFonts w:eastAsia="Arial Unicode MS"/>
                <w:b/>
                <w:sz w:val="18"/>
                <w:szCs w:val="18"/>
              </w:rPr>
              <w:t>-</w:t>
            </w:r>
          </w:p>
        </w:tc>
        <w:tc>
          <w:tcPr>
            <w:tcW w:w="1162" w:type="dxa"/>
            <w:tcBorders>
              <w:top w:val="single" w:sz="4" w:space="0" w:color="auto"/>
              <w:left w:val="nil"/>
              <w:bottom w:val="nil"/>
              <w:right w:val="nil"/>
            </w:tcBorders>
            <w:vAlign w:val="bottom"/>
            <w:hideMark/>
          </w:tcPr>
          <w:p w14:paraId="41E352EB" w14:textId="77777777" w:rsidR="0069677A" w:rsidRDefault="0069677A">
            <w:pPr>
              <w:spacing w:line="256" w:lineRule="auto"/>
              <w:jc w:val="right"/>
              <w:rPr>
                <w:rFonts w:eastAsia="Arial Unicode MS"/>
                <w:b/>
                <w:sz w:val="18"/>
                <w:szCs w:val="18"/>
              </w:rPr>
            </w:pPr>
            <w:r>
              <w:rPr>
                <w:rFonts w:eastAsia="Arial Unicode MS"/>
                <w:b/>
                <w:sz w:val="18"/>
                <w:szCs w:val="18"/>
              </w:rPr>
              <w:t>(124)</w:t>
            </w:r>
          </w:p>
        </w:tc>
        <w:tc>
          <w:tcPr>
            <w:tcW w:w="997" w:type="dxa"/>
            <w:tcBorders>
              <w:top w:val="single" w:sz="4" w:space="0" w:color="auto"/>
              <w:left w:val="nil"/>
              <w:bottom w:val="nil"/>
              <w:right w:val="nil"/>
            </w:tcBorders>
            <w:vAlign w:val="bottom"/>
            <w:hideMark/>
          </w:tcPr>
          <w:p w14:paraId="48F0E3FA" w14:textId="77777777" w:rsidR="0069677A" w:rsidRDefault="0069677A">
            <w:pPr>
              <w:spacing w:line="256" w:lineRule="auto"/>
              <w:jc w:val="right"/>
              <w:rPr>
                <w:rFonts w:eastAsia="Arial Unicode MS"/>
                <w:b/>
                <w:sz w:val="18"/>
                <w:szCs w:val="18"/>
              </w:rPr>
            </w:pPr>
            <w:r>
              <w:rPr>
                <w:rFonts w:eastAsia="Arial Unicode MS"/>
                <w:b/>
                <w:sz w:val="18"/>
                <w:szCs w:val="18"/>
              </w:rPr>
              <w:t>563</w:t>
            </w:r>
          </w:p>
        </w:tc>
        <w:tc>
          <w:tcPr>
            <w:tcW w:w="997" w:type="dxa"/>
            <w:tcBorders>
              <w:top w:val="single" w:sz="4" w:space="0" w:color="auto"/>
              <w:left w:val="nil"/>
              <w:bottom w:val="nil"/>
              <w:right w:val="nil"/>
            </w:tcBorders>
            <w:noWrap/>
            <w:tcMar>
              <w:top w:w="15" w:type="dxa"/>
              <w:left w:w="15" w:type="dxa"/>
              <w:bottom w:w="0" w:type="dxa"/>
              <w:right w:w="15" w:type="dxa"/>
            </w:tcMar>
            <w:vAlign w:val="bottom"/>
            <w:hideMark/>
          </w:tcPr>
          <w:p w14:paraId="5C66C928" w14:textId="77777777" w:rsidR="0069677A" w:rsidRDefault="0069677A">
            <w:pPr>
              <w:spacing w:line="256" w:lineRule="auto"/>
              <w:jc w:val="right"/>
              <w:rPr>
                <w:rFonts w:eastAsia="Arial Unicode MS"/>
                <w:b/>
                <w:sz w:val="18"/>
                <w:szCs w:val="18"/>
              </w:rPr>
            </w:pPr>
            <w:r>
              <w:rPr>
                <w:rFonts w:eastAsia="Arial Unicode MS"/>
                <w:b/>
                <w:sz w:val="18"/>
                <w:szCs w:val="18"/>
              </w:rPr>
              <w:t>(1,012)</w:t>
            </w:r>
          </w:p>
        </w:tc>
        <w:tc>
          <w:tcPr>
            <w:tcW w:w="830" w:type="dxa"/>
            <w:tcBorders>
              <w:top w:val="single" w:sz="4" w:space="0" w:color="auto"/>
              <w:left w:val="nil"/>
              <w:bottom w:val="nil"/>
              <w:right w:val="nil"/>
            </w:tcBorders>
            <w:noWrap/>
            <w:tcMar>
              <w:top w:w="15" w:type="dxa"/>
              <w:left w:w="15" w:type="dxa"/>
              <w:bottom w:w="0" w:type="dxa"/>
              <w:right w:w="15" w:type="dxa"/>
            </w:tcMar>
            <w:vAlign w:val="bottom"/>
            <w:hideMark/>
          </w:tcPr>
          <w:p w14:paraId="6E3FED7A" w14:textId="77777777" w:rsidR="0069677A" w:rsidRDefault="0069677A">
            <w:pPr>
              <w:spacing w:line="256" w:lineRule="auto"/>
              <w:jc w:val="right"/>
              <w:rPr>
                <w:rFonts w:eastAsia="Arial Unicode MS"/>
                <w:b/>
                <w:sz w:val="18"/>
                <w:szCs w:val="18"/>
              </w:rPr>
            </w:pPr>
            <w:r>
              <w:rPr>
                <w:rFonts w:eastAsia="Arial Unicode MS"/>
                <w:b/>
                <w:sz w:val="18"/>
                <w:szCs w:val="18"/>
              </w:rPr>
              <w:t>(573)</w:t>
            </w:r>
          </w:p>
        </w:tc>
      </w:tr>
      <w:tr w:rsidR="0069677A" w14:paraId="08BB3B34" w14:textId="77777777" w:rsidTr="0069677A">
        <w:trPr>
          <w:trHeight w:val="259"/>
        </w:trPr>
        <w:tc>
          <w:tcPr>
            <w:tcW w:w="3100" w:type="dxa"/>
            <w:noWrap/>
            <w:tcMar>
              <w:top w:w="15" w:type="dxa"/>
              <w:left w:w="15" w:type="dxa"/>
              <w:bottom w:w="0" w:type="dxa"/>
              <w:right w:w="15" w:type="dxa"/>
            </w:tcMar>
            <w:vAlign w:val="bottom"/>
            <w:hideMark/>
          </w:tcPr>
          <w:p w14:paraId="2E6C6E08" w14:textId="77777777" w:rsidR="0069677A" w:rsidRDefault="0069677A">
            <w:pPr>
              <w:spacing w:line="256" w:lineRule="auto"/>
              <w:rPr>
                <w:rFonts w:eastAsia="Arial Unicode MS"/>
                <w:b/>
                <w:sz w:val="18"/>
                <w:szCs w:val="18"/>
              </w:rPr>
            </w:pPr>
            <w:r>
              <w:rPr>
                <w:b/>
                <w:sz w:val="18"/>
                <w:szCs w:val="18"/>
              </w:rPr>
              <w:t>At 31 December 2019</w:t>
            </w:r>
          </w:p>
        </w:tc>
        <w:tc>
          <w:tcPr>
            <w:tcW w:w="738"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14:paraId="10C601ED" w14:textId="77777777" w:rsidR="0069677A" w:rsidRDefault="0069677A">
            <w:pPr>
              <w:spacing w:line="256" w:lineRule="auto"/>
              <w:jc w:val="right"/>
              <w:rPr>
                <w:rFonts w:eastAsia="Arial Unicode MS"/>
                <w:b/>
                <w:sz w:val="18"/>
                <w:szCs w:val="18"/>
              </w:rPr>
            </w:pPr>
            <w:r>
              <w:rPr>
                <w:rFonts w:eastAsia="Arial Unicode MS"/>
                <w:b/>
                <w:sz w:val="18"/>
                <w:szCs w:val="18"/>
              </w:rPr>
              <w:t>5,640</w:t>
            </w:r>
          </w:p>
        </w:tc>
        <w:tc>
          <w:tcPr>
            <w:tcW w:w="995"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14:paraId="17448C7C" w14:textId="77777777" w:rsidR="0069677A" w:rsidRDefault="0069677A">
            <w:pPr>
              <w:spacing w:line="256" w:lineRule="auto"/>
              <w:jc w:val="right"/>
              <w:rPr>
                <w:rFonts w:eastAsia="Arial Unicode MS"/>
                <w:b/>
                <w:sz w:val="18"/>
                <w:szCs w:val="18"/>
              </w:rPr>
            </w:pPr>
            <w:r>
              <w:rPr>
                <w:rFonts w:eastAsia="Arial Unicode MS"/>
                <w:b/>
                <w:sz w:val="18"/>
                <w:szCs w:val="18"/>
              </w:rPr>
              <w:t>7,321</w:t>
            </w:r>
          </w:p>
        </w:tc>
        <w:tc>
          <w:tcPr>
            <w:tcW w:w="1162" w:type="dxa"/>
            <w:tcBorders>
              <w:top w:val="single" w:sz="4" w:space="0" w:color="auto"/>
              <w:left w:val="nil"/>
              <w:bottom w:val="single" w:sz="4" w:space="0" w:color="auto"/>
              <w:right w:val="nil"/>
            </w:tcBorders>
            <w:vAlign w:val="bottom"/>
            <w:hideMark/>
          </w:tcPr>
          <w:p w14:paraId="3BCE2B0B" w14:textId="77777777" w:rsidR="0069677A" w:rsidRDefault="0069677A">
            <w:pPr>
              <w:spacing w:line="256" w:lineRule="auto"/>
              <w:jc w:val="right"/>
              <w:rPr>
                <w:b/>
                <w:sz w:val="18"/>
                <w:szCs w:val="18"/>
              </w:rPr>
            </w:pPr>
            <w:r>
              <w:rPr>
                <w:b/>
                <w:sz w:val="18"/>
                <w:szCs w:val="18"/>
              </w:rPr>
              <w:t>(21)</w:t>
            </w:r>
          </w:p>
        </w:tc>
        <w:tc>
          <w:tcPr>
            <w:tcW w:w="997" w:type="dxa"/>
            <w:tcBorders>
              <w:top w:val="single" w:sz="4" w:space="0" w:color="auto"/>
              <w:left w:val="nil"/>
              <w:bottom w:val="single" w:sz="4" w:space="0" w:color="auto"/>
              <w:right w:val="nil"/>
            </w:tcBorders>
            <w:vAlign w:val="bottom"/>
            <w:hideMark/>
          </w:tcPr>
          <w:p w14:paraId="6F560F19" w14:textId="77777777" w:rsidR="0069677A" w:rsidRDefault="0069677A">
            <w:pPr>
              <w:spacing w:line="256" w:lineRule="auto"/>
              <w:jc w:val="right"/>
              <w:rPr>
                <w:rFonts w:eastAsia="Arial Unicode MS"/>
                <w:b/>
                <w:sz w:val="18"/>
                <w:szCs w:val="18"/>
              </w:rPr>
            </w:pPr>
            <w:r>
              <w:rPr>
                <w:rFonts w:eastAsia="Arial Unicode MS"/>
                <w:b/>
                <w:sz w:val="18"/>
                <w:szCs w:val="18"/>
              </w:rPr>
              <w:t>-</w:t>
            </w:r>
          </w:p>
        </w:tc>
        <w:tc>
          <w:tcPr>
            <w:tcW w:w="997"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14:paraId="538E2492" w14:textId="77777777" w:rsidR="0069677A" w:rsidRDefault="0069677A">
            <w:pPr>
              <w:spacing w:line="256" w:lineRule="auto"/>
              <w:jc w:val="right"/>
              <w:rPr>
                <w:rFonts w:eastAsia="Arial Unicode MS"/>
                <w:b/>
                <w:sz w:val="18"/>
                <w:szCs w:val="18"/>
              </w:rPr>
            </w:pPr>
            <w:r>
              <w:rPr>
                <w:rFonts w:eastAsia="Arial Unicode MS"/>
                <w:b/>
                <w:sz w:val="18"/>
                <w:szCs w:val="18"/>
              </w:rPr>
              <w:t>4,313</w:t>
            </w:r>
          </w:p>
        </w:tc>
        <w:tc>
          <w:tcPr>
            <w:tcW w:w="830"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14:paraId="0F1DE3DC" w14:textId="77777777" w:rsidR="0069677A" w:rsidRDefault="0069677A">
            <w:pPr>
              <w:spacing w:line="256" w:lineRule="auto"/>
              <w:jc w:val="right"/>
              <w:rPr>
                <w:rFonts w:eastAsia="Arial Unicode MS"/>
                <w:b/>
                <w:sz w:val="18"/>
                <w:szCs w:val="18"/>
              </w:rPr>
            </w:pPr>
            <w:r>
              <w:rPr>
                <w:rFonts w:eastAsia="Arial Unicode MS"/>
                <w:b/>
                <w:sz w:val="18"/>
                <w:szCs w:val="18"/>
              </w:rPr>
              <w:t>17,253</w:t>
            </w:r>
          </w:p>
        </w:tc>
      </w:tr>
      <w:tr w:rsidR="0069677A" w14:paraId="205495A8" w14:textId="77777777" w:rsidTr="0069677A">
        <w:trPr>
          <w:trHeight w:val="259"/>
        </w:trPr>
        <w:tc>
          <w:tcPr>
            <w:tcW w:w="3100" w:type="dxa"/>
            <w:noWrap/>
            <w:tcMar>
              <w:top w:w="15" w:type="dxa"/>
              <w:left w:w="15" w:type="dxa"/>
              <w:bottom w:w="0" w:type="dxa"/>
              <w:right w:w="15" w:type="dxa"/>
            </w:tcMar>
            <w:vAlign w:val="bottom"/>
          </w:tcPr>
          <w:p w14:paraId="11DAE9EC" w14:textId="77777777" w:rsidR="0069677A" w:rsidRDefault="0069677A">
            <w:pPr>
              <w:spacing w:line="256" w:lineRule="auto"/>
              <w:rPr>
                <w:rFonts w:eastAsia="Arial Unicode MS"/>
                <w:b/>
                <w:bCs/>
                <w:sz w:val="18"/>
                <w:szCs w:val="18"/>
              </w:rPr>
            </w:pPr>
          </w:p>
        </w:tc>
        <w:tc>
          <w:tcPr>
            <w:tcW w:w="738" w:type="dxa"/>
            <w:noWrap/>
            <w:tcMar>
              <w:top w:w="15" w:type="dxa"/>
              <w:left w:w="15" w:type="dxa"/>
              <w:bottom w:w="0" w:type="dxa"/>
              <w:right w:w="15" w:type="dxa"/>
            </w:tcMar>
            <w:vAlign w:val="bottom"/>
          </w:tcPr>
          <w:p w14:paraId="164CC6C6" w14:textId="77777777" w:rsidR="0069677A" w:rsidRDefault="0069677A">
            <w:pPr>
              <w:spacing w:line="256" w:lineRule="auto"/>
              <w:rPr>
                <w:rFonts w:eastAsia="Arial Unicode MS"/>
                <w:b/>
                <w:bCs/>
                <w:sz w:val="18"/>
                <w:szCs w:val="18"/>
              </w:rPr>
            </w:pPr>
          </w:p>
        </w:tc>
        <w:tc>
          <w:tcPr>
            <w:tcW w:w="995" w:type="dxa"/>
            <w:noWrap/>
            <w:tcMar>
              <w:top w:w="15" w:type="dxa"/>
              <w:left w:w="15" w:type="dxa"/>
              <w:bottom w:w="0" w:type="dxa"/>
              <w:right w:w="15" w:type="dxa"/>
            </w:tcMar>
            <w:vAlign w:val="bottom"/>
          </w:tcPr>
          <w:p w14:paraId="1A724AB6" w14:textId="77777777" w:rsidR="0069677A" w:rsidRDefault="0069677A">
            <w:pPr>
              <w:spacing w:line="256" w:lineRule="auto"/>
              <w:rPr>
                <w:rFonts w:eastAsia="Arial Unicode MS"/>
                <w:b/>
                <w:bCs/>
                <w:sz w:val="18"/>
                <w:szCs w:val="18"/>
              </w:rPr>
            </w:pPr>
          </w:p>
        </w:tc>
        <w:tc>
          <w:tcPr>
            <w:tcW w:w="1162" w:type="dxa"/>
            <w:vAlign w:val="bottom"/>
          </w:tcPr>
          <w:p w14:paraId="2DA8E51C" w14:textId="77777777" w:rsidR="0069677A" w:rsidRDefault="0069677A">
            <w:pPr>
              <w:spacing w:line="256" w:lineRule="auto"/>
              <w:rPr>
                <w:rFonts w:eastAsia="Arial Unicode MS"/>
                <w:b/>
                <w:bCs/>
                <w:sz w:val="18"/>
                <w:szCs w:val="18"/>
              </w:rPr>
            </w:pPr>
          </w:p>
        </w:tc>
        <w:tc>
          <w:tcPr>
            <w:tcW w:w="997" w:type="dxa"/>
          </w:tcPr>
          <w:p w14:paraId="436A3777" w14:textId="77777777" w:rsidR="0069677A" w:rsidRDefault="0069677A">
            <w:pPr>
              <w:spacing w:line="256" w:lineRule="auto"/>
              <w:rPr>
                <w:rFonts w:eastAsia="Arial Unicode MS"/>
                <w:b/>
                <w:bCs/>
                <w:sz w:val="18"/>
                <w:szCs w:val="18"/>
              </w:rPr>
            </w:pPr>
          </w:p>
        </w:tc>
        <w:tc>
          <w:tcPr>
            <w:tcW w:w="997" w:type="dxa"/>
            <w:noWrap/>
            <w:tcMar>
              <w:top w:w="15" w:type="dxa"/>
              <w:left w:w="15" w:type="dxa"/>
              <w:bottom w:w="0" w:type="dxa"/>
              <w:right w:w="15" w:type="dxa"/>
            </w:tcMar>
            <w:vAlign w:val="bottom"/>
          </w:tcPr>
          <w:p w14:paraId="5CDEB755" w14:textId="77777777" w:rsidR="0069677A" w:rsidRDefault="0069677A">
            <w:pPr>
              <w:spacing w:line="256" w:lineRule="auto"/>
              <w:rPr>
                <w:rFonts w:eastAsia="Arial Unicode MS"/>
                <w:b/>
                <w:bCs/>
                <w:sz w:val="18"/>
                <w:szCs w:val="18"/>
              </w:rPr>
            </w:pPr>
          </w:p>
        </w:tc>
        <w:tc>
          <w:tcPr>
            <w:tcW w:w="830" w:type="dxa"/>
            <w:noWrap/>
            <w:tcMar>
              <w:top w:w="15" w:type="dxa"/>
              <w:left w:w="15" w:type="dxa"/>
              <w:bottom w:w="0" w:type="dxa"/>
              <w:right w:w="15" w:type="dxa"/>
            </w:tcMar>
            <w:vAlign w:val="bottom"/>
          </w:tcPr>
          <w:p w14:paraId="672C0F51" w14:textId="77777777" w:rsidR="0069677A" w:rsidRDefault="0069677A">
            <w:pPr>
              <w:spacing w:line="256" w:lineRule="auto"/>
              <w:rPr>
                <w:rFonts w:eastAsia="Arial Unicode MS"/>
                <w:b/>
                <w:bCs/>
                <w:sz w:val="18"/>
                <w:szCs w:val="18"/>
              </w:rPr>
            </w:pPr>
          </w:p>
        </w:tc>
      </w:tr>
      <w:tr w:rsidR="0069677A" w14:paraId="30DFF612" w14:textId="77777777" w:rsidTr="0069677A">
        <w:trPr>
          <w:trHeight w:val="259"/>
        </w:trPr>
        <w:tc>
          <w:tcPr>
            <w:tcW w:w="3100" w:type="dxa"/>
            <w:noWrap/>
            <w:tcMar>
              <w:top w:w="15" w:type="dxa"/>
              <w:left w:w="15" w:type="dxa"/>
              <w:bottom w:w="0" w:type="dxa"/>
              <w:right w:w="15" w:type="dxa"/>
            </w:tcMar>
            <w:vAlign w:val="bottom"/>
            <w:hideMark/>
          </w:tcPr>
          <w:p w14:paraId="67FE11D7" w14:textId="77777777" w:rsidR="0069677A" w:rsidRDefault="0069677A">
            <w:pPr>
              <w:spacing w:line="256" w:lineRule="auto"/>
              <w:rPr>
                <w:sz w:val="18"/>
                <w:szCs w:val="18"/>
              </w:rPr>
            </w:pPr>
            <w:r>
              <w:rPr>
                <w:sz w:val="18"/>
                <w:szCs w:val="18"/>
              </w:rPr>
              <w:t>Profit for the financial year</w:t>
            </w:r>
          </w:p>
        </w:tc>
        <w:tc>
          <w:tcPr>
            <w:tcW w:w="738" w:type="dxa"/>
            <w:noWrap/>
            <w:tcMar>
              <w:top w:w="15" w:type="dxa"/>
              <w:left w:w="15" w:type="dxa"/>
              <w:bottom w:w="0" w:type="dxa"/>
              <w:right w:w="15" w:type="dxa"/>
            </w:tcMar>
            <w:vAlign w:val="bottom"/>
            <w:hideMark/>
          </w:tcPr>
          <w:p w14:paraId="18FF4DB5" w14:textId="77777777" w:rsidR="0069677A" w:rsidRDefault="0069677A">
            <w:pPr>
              <w:spacing w:line="256" w:lineRule="auto"/>
              <w:jc w:val="right"/>
              <w:rPr>
                <w:rFonts w:eastAsia="Arial Unicode MS"/>
                <w:sz w:val="18"/>
                <w:szCs w:val="18"/>
              </w:rPr>
            </w:pPr>
            <w:r>
              <w:rPr>
                <w:rFonts w:eastAsia="Arial Unicode MS"/>
                <w:sz w:val="18"/>
                <w:szCs w:val="18"/>
              </w:rPr>
              <w:t>-</w:t>
            </w:r>
          </w:p>
        </w:tc>
        <w:tc>
          <w:tcPr>
            <w:tcW w:w="995" w:type="dxa"/>
            <w:noWrap/>
            <w:tcMar>
              <w:top w:w="15" w:type="dxa"/>
              <w:left w:w="15" w:type="dxa"/>
              <w:bottom w:w="0" w:type="dxa"/>
              <w:right w:w="15" w:type="dxa"/>
            </w:tcMar>
            <w:vAlign w:val="bottom"/>
            <w:hideMark/>
          </w:tcPr>
          <w:p w14:paraId="1554E21D" w14:textId="77777777" w:rsidR="0069677A" w:rsidRDefault="0069677A">
            <w:pPr>
              <w:spacing w:line="256" w:lineRule="auto"/>
              <w:jc w:val="right"/>
              <w:rPr>
                <w:rFonts w:eastAsia="Arial Unicode MS"/>
                <w:sz w:val="18"/>
                <w:szCs w:val="18"/>
              </w:rPr>
            </w:pPr>
            <w:r>
              <w:rPr>
                <w:rFonts w:eastAsia="Arial Unicode MS"/>
                <w:sz w:val="18"/>
                <w:szCs w:val="18"/>
              </w:rPr>
              <w:t>-</w:t>
            </w:r>
          </w:p>
        </w:tc>
        <w:tc>
          <w:tcPr>
            <w:tcW w:w="1162" w:type="dxa"/>
            <w:vAlign w:val="bottom"/>
            <w:hideMark/>
          </w:tcPr>
          <w:p w14:paraId="74731F57" w14:textId="77777777" w:rsidR="0069677A" w:rsidRDefault="0069677A">
            <w:pPr>
              <w:spacing w:line="256" w:lineRule="auto"/>
              <w:jc w:val="right"/>
              <w:rPr>
                <w:rFonts w:eastAsia="Arial Unicode MS"/>
                <w:sz w:val="18"/>
                <w:szCs w:val="18"/>
              </w:rPr>
            </w:pPr>
            <w:r>
              <w:rPr>
                <w:rFonts w:eastAsia="Arial Unicode MS"/>
                <w:sz w:val="18"/>
                <w:szCs w:val="18"/>
              </w:rPr>
              <w:t>-</w:t>
            </w:r>
          </w:p>
        </w:tc>
        <w:tc>
          <w:tcPr>
            <w:tcW w:w="997" w:type="dxa"/>
            <w:vAlign w:val="bottom"/>
            <w:hideMark/>
          </w:tcPr>
          <w:p w14:paraId="7F863E45" w14:textId="77777777" w:rsidR="0069677A" w:rsidRDefault="0069677A">
            <w:pPr>
              <w:spacing w:line="256" w:lineRule="auto"/>
              <w:jc w:val="right"/>
              <w:rPr>
                <w:rFonts w:eastAsia="Arial Unicode MS"/>
                <w:sz w:val="18"/>
                <w:szCs w:val="18"/>
              </w:rPr>
            </w:pPr>
            <w:r>
              <w:rPr>
                <w:rFonts w:eastAsia="Arial Unicode MS"/>
                <w:sz w:val="18"/>
                <w:szCs w:val="18"/>
              </w:rPr>
              <w:t>-</w:t>
            </w:r>
          </w:p>
        </w:tc>
        <w:tc>
          <w:tcPr>
            <w:tcW w:w="997" w:type="dxa"/>
            <w:noWrap/>
            <w:tcMar>
              <w:top w:w="15" w:type="dxa"/>
              <w:left w:w="15" w:type="dxa"/>
              <w:bottom w:w="0" w:type="dxa"/>
              <w:right w:w="15" w:type="dxa"/>
            </w:tcMar>
            <w:vAlign w:val="bottom"/>
            <w:hideMark/>
          </w:tcPr>
          <w:p w14:paraId="5C0FCC09" w14:textId="77777777" w:rsidR="0069677A" w:rsidRDefault="0069677A">
            <w:pPr>
              <w:spacing w:line="256" w:lineRule="auto"/>
              <w:jc w:val="right"/>
              <w:rPr>
                <w:rFonts w:eastAsia="Arial Unicode MS"/>
                <w:sz w:val="18"/>
                <w:szCs w:val="18"/>
              </w:rPr>
            </w:pPr>
            <w:r>
              <w:rPr>
                <w:rFonts w:eastAsia="Arial Unicode MS"/>
                <w:sz w:val="18"/>
                <w:szCs w:val="18"/>
              </w:rPr>
              <w:t>1,437</w:t>
            </w:r>
          </w:p>
        </w:tc>
        <w:tc>
          <w:tcPr>
            <w:tcW w:w="830" w:type="dxa"/>
            <w:noWrap/>
            <w:tcMar>
              <w:top w:w="15" w:type="dxa"/>
              <w:left w:w="15" w:type="dxa"/>
              <w:bottom w:w="0" w:type="dxa"/>
              <w:right w:w="15" w:type="dxa"/>
            </w:tcMar>
            <w:vAlign w:val="bottom"/>
            <w:hideMark/>
          </w:tcPr>
          <w:p w14:paraId="65134F8E" w14:textId="77777777" w:rsidR="0069677A" w:rsidRDefault="0069677A">
            <w:pPr>
              <w:spacing w:line="256" w:lineRule="auto"/>
              <w:jc w:val="right"/>
              <w:rPr>
                <w:rFonts w:eastAsia="Arial Unicode MS"/>
                <w:sz w:val="18"/>
                <w:szCs w:val="18"/>
              </w:rPr>
            </w:pPr>
            <w:r>
              <w:rPr>
                <w:rFonts w:eastAsia="Arial Unicode MS"/>
                <w:sz w:val="18"/>
                <w:szCs w:val="18"/>
              </w:rPr>
              <w:t>1,437</w:t>
            </w:r>
          </w:p>
        </w:tc>
      </w:tr>
      <w:tr w:rsidR="0069677A" w14:paraId="54803791" w14:textId="77777777" w:rsidTr="0069677A">
        <w:trPr>
          <w:trHeight w:val="259"/>
        </w:trPr>
        <w:tc>
          <w:tcPr>
            <w:tcW w:w="3100" w:type="dxa"/>
            <w:noWrap/>
            <w:tcMar>
              <w:top w:w="15" w:type="dxa"/>
              <w:left w:w="15" w:type="dxa"/>
              <w:bottom w:w="0" w:type="dxa"/>
              <w:right w:w="15" w:type="dxa"/>
            </w:tcMar>
            <w:vAlign w:val="bottom"/>
            <w:hideMark/>
          </w:tcPr>
          <w:p w14:paraId="1AEFD134" w14:textId="77777777" w:rsidR="0069677A" w:rsidRDefault="0069677A">
            <w:pPr>
              <w:spacing w:line="256" w:lineRule="auto"/>
              <w:rPr>
                <w:sz w:val="18"/>
                <w:szCs w:val="18"/>
              </w:rPr>
            </w:pPr>
            <w:r>
              <w:rPr>
                <w:sz w:val="18"/>
                <w:szCs w:val="18"/>
              </w:rPr>
              <w:t>Foreign exchange gain</w:t>
            </w:r>
          </w:p>
        </w:tc>
        <w:tc>
          <w:tcPr>
            <w:tcW w:w="738" w:type="dxa"/>
            <w:tcBorders>
              <w:top w:val="nil"/>
              <w:left w:val="nil"/>
              <w:bottom w:val="single" w:sz="4" w:space="0" w:color="auto"/>
              <w:right w:val="nil"/>
            </w:tcBorders>
            <w:noWrap/>
            <w:tcMar>
              <w:top w:w="15" w:type="dxa"/>
              <w:left w:w="15" w:type="dxa"/>
              <w:bottom w:w="0" w:type="dxa"/>
              <w:right w:w="15" w:type="dxa"/>
            </w:tcMar>
            <w:vAlign w:val="bottom"/>
            <w:hideMark/>
          </w:tcPr>
          <w:p w14:paraId="7D39885C" w14:textId="77777777" w:rsidR="0069677A" w:rsidRDefault="0069677A">
            <w:pPr>
              <w:spacing w:line="256" w:lineRule="auto"/>
              <w:jc w:val="right"/>
              <w:rPr>
                <w:rFonts w:eastAsia="Arial Unicode MS"/>
                <w:sz w:val="18"/>
                <w:szCs w:val="18"/>
              </w:rPr>
            </w:pPr>
            <w:r>
              <w:rPr>
                <w:rFonts w:eastAsia="Arial Unicode MS"/>
                <w:sz w:val="18"/>
                <w:szCs w:val="18"/>
              </w:rPr>
              <w:t>-</w:t>
            </w:r>
          </w:p>
        </w:tc>
        <w:tc>
          <w:tcPr>
            <w:tcW w:w="995" w:type="dxa"/>
            <w:tcBorders>
              <w:top w:val="nil"/>
              <w:left w:val="nil"/>
              <w:bottom w:val="single" w:sz="4" w:space="0" w:color="auto"/>
              <w:right w:val="nil"/>
            </w:tcBorders>
            <w:noWrap/>
            <w:tcMar>
              <w:top w:w="15" w:type="dxa"/>
              <w:left w:w="15" w:type="dxa"/>
              <w:bottom w:w="0" w:type="dxa"/>
              <w:right w:w="15" w:type="dxa"/>
            </w:tcMar>
            <w:vAlign w:val="bottom"/>
            <w:hideMark/>
          </w:tcPr>
          <w:p w14:paraId="233134C6" w14:textId="77777777" w:rsidR="0069677A" w:rsidRDefault="0069677A">
            <w:pPr>
              <w:spacing w:line="256" w:lineRule="auto"/>
              <w:jc w:val="right"/>
              <w:rPr>
                <w:rFonts w:eastAsia="Arial Unicode MS"/>
                <w:sz w:val="18"/>
                <w:szCs w:val="18"/>
              </w:rPr>
            </w:pPr>
            <w:r>
              <w:rPr>
                <w:rFonts w:eastAsia="Arial Unicode MS"/>
                <w:sz w:val="18"/>
                <w:szCs w:val="18"/>
              </w:rPr>
              <w:t>-</w:t>
            </w:r>
          </w:p>
        </w:tc>
        <w:tc>
          <w:tcPr>
            <w:tcW w:w="1162" w:type="dxa"/>
            <w:tcBorders>
              <w:top w:val="nil"/>
              <w:left w:val="nil"/>
              <w:bottom w:val="single" w:sz="4" w:space="0" w:color="auto"/>
              <w:right w:val="nil"/>
            </w:tcBorders>
            <w:vAlign w:val="bottom"/>
            <w:hideMark/>
          </w:tcPr>
          <w:p w14:paraId="31C25371" w14:textId="77777777" w:rsidR="0069677A" w:rsidRDefault="0069677A">
            <w:pPr>
              <w:spacing w:line="256" w:lineRule="auto"/>
              <w:jc w:val="right"/>
              <w:rPr>
                <w:rFonts w:eastAsia="Arial Unicode MS"/>
                <w:sz w:val="18"/>
                <w:szCs w:val="18"/>
              </w:rPr>
            </w:pPr>
            <w:r>
              <w:rPr>
                <w:rFonts w:eastAsia="Arial Unicode MS"/>
                <w:sz w:val="18"/>
                <w:szCs w:val="18"/>
              </w:rPr>
              <w:t>162</w:t>
            </w:r>
          </w:p>
        </w:tc>
        <w:tc>
          <w:tcPr>
            <w:tcW w:w="997" w:type="dxa"/>
            <w:tcBorders>
              <w:top w:val="nil"/>
              <w:left w:val="nil"/>
              <w:bottom w:val="single" w:sz="4" w:space="0" w:color="auto"/>
              <w:right w:val="nil"/>
            </w:tcBorders>
            <w:vAlign w:val="bottom"/>
            <w:hideMark/>
          </w:tcPr>
          <w:p w14:paraId="0707E2C8" w14:textId="77777777" w:rsidR="0069677A" w:rsidRDefault="0069677A">
            <w:pPr>
              <w:spacing w:line="256" w:lineRule="auto"/>
              <w:jc w:val="right"/>
              <w:rPr>
                <w:rFonts w:eastAsia="Arial Unicode MS"/>
                <w:sz w:val="18"/>
                <w:szCs w:val="18"/>
              </w:rPr>
            </w:pPr>
            <w:r>
              <w:rPr>
                <w:rFonts w:eastAsia="Arial Unicode MS"/>
                <w:sz w:val="18"/>
                <w:szCs w:val="18"/>
              </w:rPr>
              <w:t>-</w:t>
            </w:r>
          </w:p>
        </w:tc>
        <w:tc>
          <w:tcPr>
            <w:tcW w:w="997" w:type="dxa"/>
            <w:tcBorders>
              <w:top w:val="nil"/>
              <w:left w:val="nil"/>
              <w:bottom w:val="single" w:sz="4" w:space="0" w:color="auto"/>
              <w:right w:val="nil"/>
            </w:tcBorders>
            <w:noWrap/>
            <w:tcMar>
              <w:top w:w="15" w:type="dxa"/>
              <w:left w:w="15" w:type="dxa"/>
              <w:bottom w:w="0" w:type="dxa"/>
              <w:right w:w="15" w:type="dxa"/>
            </w:tcMar>
            <w:vAlign w:val="bottom"/>
            <w:hideMark/>
          </w:tcPr>
          <w:p w14:paraId="5493C622" w14:textId="77777777" w:rsidR="0069677A" w:rsidRDefault="0069677A">
            <w:pPr>
              <w:spacing w:line="256" w:lineRule="auto"/>
              <w:jc w:val="right"/>
              <w:rPr>
                <w:rFonts w:eastAsia="Arial Unicode MS"/>
                <w:sz w:val="18"/>
                <w:szCs w:val="18"/>
              </w:rPr>
            </w:pPr>
            <w:r>
              <w:rPr>
                <w:rFonts w:eastAsia="Arial Unicode MS"/>
                <w:sz w:val="18"/>
                <w:szCs w:val="18"/>
              </w:rPr>
              <w:t>-</w:t>
            </w:r>
          </w:p>
        </w:tc>
        <w:tc>
          <w:tcPr>
            <w:tcW w:w="830" w:type="dxa"/>
            <w:tcBorders>
              <w:top w:val="nil"/>
              <w:left w:val="nil"/>
              <w:bottom w:val="single" w:sz="4" w:space="0" w:color="auto"/>
              <w:right w:val="nil"/>
            </w:tcBorders>
            <w:noWrap/>
            <w:tcMar>
              <w:top w:w="15" w:type="dxa"/>
              <w:left w:w="15" w:type="dxa"/>
              <w:bottom w:w="0" w:type="dxa"/>
              <w:right w:w="15" w:type="dxa"/>
            </w:tcMar>
            <w:vAlign w:val="bottom"/>
            <w:hideMark/>
          </w:tcPr>
          <w:p w14:paraId="4424D806" w14:textId="77777777" w:rsidR="0069677A" w:rsidRDefault="0069677A">
            <w:pPr>
              <w:spacing w:line="256" w:lineRule="auto"/>
              <w:jc w:val="right"/>
              <w:rPr>
                <w:rFonts w:eastAsia="Arial Unicode MS"/>
                <w:sz w:val="18"/>
                <w:szCs w:val="18"/>
              </w:rPr>
            </w:pPr>
            <w:r>
              <w:rPr>
                <w:rFonts w:eastAsia="Arial Unicode MS"/>
                <w:sz w:val="18"/>
                <w:szCs w:val="18"/>
              </w:rPr>
              <w:t>162</w:t>
            </w:r>
          </w:p>
        </w:tc>
      </w:tr>
      <w:tr w:rsidR="0069677A" w14:paraId="47CE24FC" w14:textId="77777777" w:rsidTr="0069677A">
        <w:trPr>
          <w:trHeight w:val="259"/>
        </w:trPr>
        <w:tc>
          <w:tcPr>
            <w:tcW w:w="3100" w:type="dxa"/>
            <w:noWrap/>
            <w:tcMar>
              <w:top w:w="15" w:type="dxa"/>
              <w:left w:w="15" w:type="dxa"/>
              <w:bottom w:w="0" w:type="dxa"/>
              <w:right w:w="15" w:type="dxa"/>
            </w:tcMar>
            <w:vAlign w:val="bottom"/>
            <w:hideMark/>
          </w:tcPr>
          <w:p w14:paraId="55E0AA43" w14:textId="77777777" w:rsidR="0069677A" w:rsidRDefault="0069677A">
            <w:pPr>
              <w:spacing w:line="256" w:lineRule="auto"/>
              <w:rPr>
                <w:b/>
                <w:sz w:val="18"/>
                <w:szCs w:val="18"/>
              </w:rPr>
            </w:pPr>
            <w:r>
              <w:rPr>
                <w:b/>
                <w:sz w:val="18"/>
                <w:szCs w:val="18"/>
              </w:rPr>
              <w:t>Total comprehensive income for the financial year</w:t>
            </w:r>
          </w:p>
        </w:tc>
        <w:tc>
          <w:tcPr>
            <w:tcW w:w="738" w:type="dxa"/>
            <w:tcBorders>
              <w:top w:val="single" w:sz="4" w:space="0" w:color="auto"/>
              <w:left w:val="nil"/>
              <w:bottom w:val="nil"/>
              <w:right w:val="nil"/>
            </w:tcBorders>
            <w:noWrap/>
            <w:tcMar>
              <w:top w:w="15" w:type="dxa"/>
              <w:left w:w="15" w:type="dxa"/>
              <w:bottom w:w="0" w:type="dxa"/>
              <w:right w:w="15" w:type="dxa"/>
            </w:tcMar>
            <w:vAlign w:val="bottom"/>
            <w:hideMark/>
          </w:tcPr>
          <w:p w14:paraId="26F0BE75" w14:textId="77777777" w:rsidR="0069677A" w:rsidRDefault="0069677A">
            <w:pPr>
              <w:spacing w:line="256" w:lineRule="auto"/>
              <w:jc w:val="right"/>
              <w:rPr>
                <w:rFonts w:eastAsia="Arial Unicode MS"/>
                <w:b/>
                <w:sz w:val="18"/>
                <w:szCs w:val="18"/>
              </w:rPr>
            </w:pPr>
            <w:r>
              <w:rPr>
                <w:rFonts w:eastAsia="Arial Unicode MS"/>
                <w:b/>
                <w:sz w:val="18"/>
                <w:szCs w:val="18"/>
              </w:rPr>
              <w:t>-</w:t>
            </w:r>
          </w:p>
        </w:tc>
        <w:tc>
          <w:tcPr>
            <w:tcW w:w="995" w:type="dxa"/>
            <w:tcBorders>
              <w:top w:val="single" w:sz="4" w:space="0" w:color="auto"/>
              <w:left w:val="nil"/>
              <w:bottom w:val="nil"/>
              <w:right w:val="nil"/>
            </w:tcBorders>
            <w:noWrap/>
            <w:tcMar>
              <w:top w:w="15" w:type="dxa"/>
              <w:left w:w="15" w:type="dxa"/>
              <w:bottom w:w="0" w:type="dxa"/>
              <w:right w:w="15" w:type="dxa"/>
            </w:tcMar>
            <w:vAlign w:val="bottom"/>
            <w:hideMark/>
          </w:tcPr>
          <w:p w14:paraId="7CC75A7A" w14:textId="77777777" w:rsidR="0069677A" w:rsidRDefault="0069677A">
            <w:pPr>
              <w:spacing w:line="256" w:lineRule="auto"/>
              <w:jc w:val="right"/>
              <w:rPr>
                <w:rFonts w:eastAsia="Arial Unicode MS"/>
                <w:b/>
                <w:sz w:val="18"/>
                <w:szCs w:val="18"/>
              </w:rPr>
            </w:pPr>
            <w:r>
              <w:rPr>
                <w:rFonts w:eastAsia="Arial Unicode MS"/>
                <w:b/>
                <w:sz w:val="18"/>
                <w:szCs w:val="18"/>
              </w:rPr>
              <w:t>-</w:t>
            </w:r>
          </w:p>
        </w:tc>
        <w:tc>
          <w:tcPr>
            <w:tcW w:w="1162" w:type="dxa"/>
            <w:tcBorders>
              <w:top w:val="single" w:sz="4" w:space="0" w:color="auto"/>
              <w:left w:val="nil"/>
              <w:bottom w:val="nil"/>
              <w:right w:val="nil"/>
            </w:tcBorders>
            <w:vAlign w:val="bottom"/>
            <w:hideMark/>
          </w:tcPr>
          <w:p w14:paraId="06E70192" w14:textId="77777777" w:rsidR="0069677A" w:rsidRDefault="0069677A">
            <w:pPr>
              <w:spacing w:line="256" w:lineRule="auto"/>
              <w:jc w:val="right"/>
              <w:rPr>
                <w:rFonts w:eastAsia="Arial Unicode MS"/>
                <w:b/>
                <w:sz w:val="18"/>
                <w:szCs w:val="18"/>
              </w:rPr>
            </w:pPr>
            <w:r>
              <w:rPr>
                <w:rFonts w:eastAsia="Arial Unicode MS"/>
                <w:b/>
                <w:sz w:val="18"/>
                <w:szCs w:val="18"/>
              </w:rPr>
              <w:t>162</w:t>
            </w:r>
          </w:p>
        </w:tc>
        <w:tc>
          <w:tcPr>
            <w:tcW w:w="997" w:type="dxa"/>
            <w:tcBorders>
              <w:top w:val="single" w:sz="4" w:space="0" w:color="auto"/>
              <w:left w:val="nil"/>
              <w:bottom w:val="nil"/>
              <w:right w:val="nil"/>
            </w:tcBorders>
            <w:vAlign w:val="bottom"/>
            <w:hideMark/>
          </w:tcPr>
          <w:p w14:paraId="6733EC45" w14:textId="77777777" w:rsidR="0069677A" w:rsidRDefault="0069677A">
            <w:pPr>
              <w:spacing w:line="256" w:lineRule="auto"/>
              <w:jc w:val="right"/>
              <w:rPr>
                <w:rFonts w:eastAsia="Arial Unicode MS"/>
                <w:b/>
                <w:sz w:val="18"/>
                <w:szCs w:val="18"/>
              </w:rPr>
            </w:pPr>
            <w:r>
              <w:rPr>
                <w:rFonts w:eastAsia="Arial Unicode MS"/>
                <w:b/>
                <w:sz w:val="18"/>
                <w:szCs w:val="18"/>
              </w:rPr>
              <w:t>-</w:t>
            </w:r>
          </w:p>
        </w:tc>
        <w:tc>
          <w:tcPr>
            <w:tcW w:w="997" w:type="dxa"/>
            <w:tcBorders>
              <w:top w:val="single" w:sz="4" w:space="0" w:color="auto"/>
              <w:left w:val="nil"/>
              <w:bottom w:val="nil"/>
              <w:right w:val="nil"/>
            </w:tcBorders>
            <w:noWrap/>
            <w:tcMar>
              <w:top w:w="15" w:type="dxa"/>
              <w:left w:w="15" w:type="dxa"/>
              <w:bottom w:w="0" w:type="dxa"/>
              <w:right w:w="15" w:type="dxa"/>
            </w:tcMar>
            <w:vAlign w:val="bottom"/>
            <w:hideMark/>
          </w:tcPr>
          <w:p w14:paraId="4DFBEFAD" w14:textId="77777777" w:rsidR="0069677A" w:rsidRDefault="0069677A">
            <w:pPr>
              <w:spacing w:line="256" w:lineRule="auto"/>
              <w:jc w:val="right"/>
              <w:rPr>
                <w:rFonts w:eastAsia="Arial Unicode MS"/>
                <w:b/>
                <w:sz w:val="18"/>
                <w:szCs w:val="18"/>
              </w:rPr>
            </w:pPr>
            <w:r>
              <w:rPr>
                <w:rFonts w:eastAsia="Arial Unicode MS"/>
                <w:b/>
                <w:sz w:val="18"/>
                <w:szCs w:val="18"/>
              </w:rPr>
              <w:t>1,437</w:t>
            </w:r>
          </w:p>
        </w:tc>
        <w:tc>
          <w:tcPr>
            <w:tcW w:w="830" w:type="dxa"/>
            <w:tcBorders>
              <w:top w:val="single" w:sz="4" w:space="0" w:color="auto"/>
              <w:left w:val="nil"/>
              <w:bottom w:val="nil"/>
              <w:right w:val="nil"/>
            </w:tcBorders>
            <w:noWrap/>
            <w:tcMar>
              <w:top w:w="15" w:type="dxa"/>
              <w:left w:w="15" w:type="dxa"/>
              <w:bottom w:w="0" w:type="dxa"/>
              <w:right w:w="15" w:type="dxa"/>
            </w:tcMar>
            <w:vAlign w:val="bottom"/>
            <w:hideMark/>
          </w:tcPr>
          <w:p w14:paraId="5526AD2B" w14:textId="77777777" w:rsidR="0069677A" w:rsidRDefault="0069677A">
            <w:pPr>
              <w:spacing w:line="256" w:lineRule="auto"/>
              <w:jc w:val="right"/>
              <w:rPr>
                <w:rFonts w:eastAsia="Arial Unicode MS"/>
                <w:b/>
                <w:sz w:val="18"/>
                <w:szCs w:val="18"/>
              </w:rPr>
            </w:pPr>
            <w:r>
              <w:rPr>
                <w:rFonts w:eastAsia="Arial Unicode MS"/>
                <w:b/>
                <w:sz w:val="18"/>
                <w:szCs w:val="18"/>
              </w:rPr>
              <w:t>1,599</w:t>
            </w:r>
          </w:p>
        </w:tc>
      </w:tr>
      <w:tr w:rsidR="0069677A" w14:paraId="30F6729C" w14:textId="77777777" w:rsidTr="0069677A">
        <w:trPr>
          <w:trHeight w:val="259"/>
        </w:trPr>
        <w:tc>
          <w:tcPr>
            <w:tcW w:w="3100" w:type="dxa"/>
            <w:noWrap/>
            <w:tcMar>
              <w:top w:w="15" w:type="dxa"/>
              <w:left w:w="15" w:type="dxa"/>
              <w:bottom w:w="0" w:type="dxa"/>
              <w:right w:w="15" w:type="dxa"/>
            </w:tcMar>
            <w:vAlign w:val="bottom"/>
            <w:hideMark/>
          </w:tcPr>
          <w:p w14:paraId="4A6DB3A2" w14:textId="77777777" w:rsidR="0069677A" w:rsidRDefault="0069677A">
            <w:pPr>
              <w:spacing w:line="256" w:lineRule="auto"/>
              <w:rPr>
                <w:rFonts w:eastAsia="Arial Unicode MS"/>
                <w:sz w:val="18"/>
                <w:szCs w:val="18"/>
              </w:rPr>
            </w:pPr>
            <w:r>
              <w:rPr>
                <w:sz w:val="18"/>
                <w:szCs w:val="18"/>
              </w:rPr>
              <w:t>Equity dividends paid</w:t>
            </w:r>
          </w:p>
        </w:tc>
        <w:tc>
          <w:tcPr>
            <w:tcW w:w="738" w:type="dxa"/>
            <w:noWrap/>
            <w:tcMar>
              <w:top w:w="15" w:type="dxa"/>
              <w:left w:w="15" w:type="dxa"/>
              <w:bottom w:w="0" w:type="dxa"/>
              <w:right w:w="15" w:type="dxa"/>
            </w:tcMar>
            <w:vAlign w:val="bottom"/>
            <w:hideMark/>
          </w:tcPr>
          <w:p w14:paraId="6D9130C1" w14:textId="77777777" w:rsidR="0069677A" w:rsidRDefault="0069677A">
            <w:pPr>
              <w:spacing w:line="256" w:lineRule="auto"/>
              <w:jc w:val="right"/>
              <w:rPr>
                <w:rFonts w:eastAsia="Arial Unicode MS"/>
                <w:sz w:val="18"/>
                <w:szCs w:val="18"/>
              </w:rPr>
            </w:pPr>
            <w:r>
              <w:rPr>
                <w:rFonts w:eastAsia="Arial Unicode MS"/>
                <w:sz w:val="18"/>
                <w:szCs w:val="18"/>
              </w:rPr>
              <w:t>-</w:t>
            </w:r>
          </w:p>
        </w:tc>
        <w:tc>
          <w:tcPr>
            <w:tcW w:w="995" w:type="dxa"/>
            <w:noWrap/>
            <w:tcMar>
              <w:top w:w="15" w:type="dxa"/>
              <w:left w:w="15" w:type="dxa"/>
              <w:bottom w:w="0" w:type="dxa"/>
              <w:right w:w="15" w:type="dxa"/>
            </w:tcMar>
            <w:vAlign w:val="bottom"/>
            <w:hideMark/>
          </w:tcPr>
          <w:p w14:paraId="76085352" w14:textId="77777777" w:rsidR="0069677A" w:rsidRDefault="0069677A">
            <w:pPr>
              <w:spacing w:line="256" w:lineRule="auto"/>
              <w:jc w:val="right"/>
              <w:rPr>
                <w:rFonts w:eastAsia="Arial Unicode MS"/>
                <w:sz w:val="18"/>
                <w:szCs w:val="18"/>
              </w:rPr>
            </w:pPr>
            <w:r>
              <w:rPr>
                <w:rFonts w:eastAsia="Arial Unicode MS"/>
                <w:sz w:val="18"/>
                <w:szCs w:val="18"/>
              </w:rPr>
              <w:t>-</w:t>
            </w:r>
          </w:p>
        </w:tc>
        <w:tc>
          <w:tcPr>
            <w:tcW w:w="1162" w:type="dxa"/>
            <w:vAlign w:val="bottom"/>
            <w:hideMark/>
          </w:tcPr>
          <w:p w14:paraId="387170B1" w14:textId="77777777" w:rsidR="0069677A" w:rsidRDefault="0069677A">
            <w:pPr>
              <w:spacing w:line="256" w:lineRule="auto"/>
              <w:jc w:val="right"/>
              <w:rPr>
                <w:rFonts w:eastAsia="Arial Unicode MS"/>
                <w:sz w:val="18"/>
                <w:szCs w:val="18"/>
              </w:rPr>
            </w:pPr>
            <w:r>
              <w:rPr>
                <w:rFonts w:eastAsia="Arial Unicode MS"/>
                <w:sz w:val="18"/>
                <w:szCs w:val="18"/>
              </w:rPr>
              <w:t>-</w:t>
            </w:r>
          </w:p>
        </w:tc>
        <w:tc>
          <w:tcPr>
            <w:tcW w:w="997" w:type="dxa"/>
            <w:vAlign w:val="bottom"/>
            <w:hideMark/>
          </w:tcPr>
          <w:p w14:paraId="72FD1289" w14:textId="77777777" w:rsidR="0069677A" w:rsidRDefault="0069677A">
            <w:pPr>
              <w:spacing w:line="256" w:lineRule="auto"/>
              <w:jc w:val="right"/>
              <w:rPr>
                <w:rFonts w:eastAsia="Arial Unicode MS"/>
                <w:sz w:val="18"/>
                <w:szCs w:val="18"/>
              </w:rPr>
            </w:pPr>
            <w:r>
              <w:rPr>
                <w:rFonts w:eastAsia="Arial Unicode MS"/>
                <w:sz w:val="18"/>
                <w:szCs w:val="18"/>
              </w:rPr>
              <w:t>-</w:t>
            </w:r>
          </w:p>
        </w:tc>
        <w:tc>
          <w:tcPr>
            <w:tcW w:w="997" w:type="dxa"/>
            <w:noWrap/>
            <w:tcMar>
              <w:top w:w="15" w:type="dxa"/>
              <w:left w:w="15" w:type="dxa"/>
              <w:bottom w:w="0" w:type="dxa"/>
              <w:right w:w="15" w:type="dxa"/>
            </w:tcMar>
            <w:vAlign w:val="bottom"/>
            <w:hideMark/>
          </w:tcPr>
          <w:p w14:paraId="71BD029C" w14:textId="77777777" w:rsidR="0069677A" w:rsidRDefault="0069677A">
            <w:pPr>
              <w:spacing w:line="256" w:lineRule="auto"/>
              <w:jc w:val="right"/>
              <w:rPr>
                <w:rFonts w:eastAsia="Arial Unicode MS"/>
                <w:sz w:val="18"/>
                <w:szCs w:val="18"/>
              </w:rPr>
            </w:pPr>
            <w:r>
              <w:rPr>
                <w:rFonts w:eastAsia="Arial Unicode MS"/>
                <w:sz w:val="18"/>
                <w:szCs w:val="18"/>
              </w:rPr>
              <w:t>-</w:t>
            </w:r>
          </w:p>
        </w:tc>
        <w:tc>
          <w:tcPr>
            <w:tcW w:w="830" w:type="dxa"/>
            <w:noWrap/>
            <w:tcMar>
              <w:top w:w="15" w:type="dxa"/>
              <w:left w:w="15" w:type="dxa"/>
              <w:bottom w:w="0" w:type="dxa"/>
              <w:right w:w="15" w:type="dxa"/>
            </w:tcMar>
            <w:vAlign w:val="bottom"/>
            <w:hideMark/>
          </w:tcPr>
          <w:p w14:paraId="7B1A09CA" w14:textId="77777777" w:rsidR="0069677A" w:rsidRDefault="0069677A">
            <w:pPr>
              <w:spacing w:line="256" w:lineRule="auto"/>
              <w:jc w:val="right"/>
              <w:rPr>
                <w:rFonts w:eastAsia="Arial Unicode MS"/>
                <w:sz w:val="18"/>
                <w:szCs w:val="18"/>
              </w:rPr>
            </w:pPr>
            <w:r>
              <w:rPr>
                <w:rFonts w:eastAsia="Arial Unicode MS"/>
                <w:sz w:val="18"/>
                <w:szCs w:val="18"/>
              </w:rPr>
              <w:t>-</w:t>
            </w:r>
          </w:p>
        </w:tc>
      </w:tr>
      <w:tr w:rsidR="0069677A" w14:paraId="0482109A" w14:textId="77777777" w:rsidTr="0069677A">
        <w:trPr>
          <w:trHeight w:val="259"/>
        </w:trPr>
        <w:tc>
          <w:tcPr>
            <w:tcW w:w="3100" w:type="dxa"/>
            <w:noWrap/>
            <w:tcMar>
              <w:top w:w="15" w:type="dxa"/>
              <w:left w:w="15" w:type="dxa"/>
              <w:bottom w:w="0" w:type="dxa"/>
              <w:right w:w="15" w:type="dxa"/>
            </w:tcMar>
            <w:vAlign w:val="bottom"/>
          </w:tcPr>
          <w:p w14:paraId="7997979F" w14:textId="77777777" w:rsidR="0069677A" w:rsidRDefault="0069677A">
            <w:pPr>
              <w:spacing w:line="256" w:lineRule="auto"/>
              <w:rPr>
                <w:sz w:val="18"/>
                <w:szCs w:val="18"/>
              </w:rPr>
            </w:pPr>
          </w:p>
        </w:tc>
        <w:tc>
          <w:tcPr>
            <w:tcW w:w="738" w:type="dxa"/>
            <w:noWrap/>
            <w:tcMar>
              <w:top w:w="15" w:type="dxa"/>
              <w:left w:w="15" w:type="dxa"/>
              <w:bottom w:w="0" w:type="dxa"/>
              <w:right w:w="15" w:type="dxa"/>
            </w:tcMar>
            <w:vAlign w:val="bottom"/>
          </w:tcPr>
          <w:p w14:paraId="47A09D81" w14:textId="77777777" w:rsidR="0069677A" w:rsidRDefault="0069677A">
            <w:pPr>
              <w:spacing w:line="256" w:lineRule="auto"/>
              <w:jc w:val="right"/>
              <w:rPr>
                <w:rFonts w:eastAsia="Arial Unicode MS"/>
                <w:sz w:val="18"/>
                <w:szCs w:val="18"/>
              </w:rPr>
            </w:pPr>
          </w:p>
        </w:tc>
        <w:tc>
          <w:tcPr>
            <w:tcW w:w="995" w:type="dxa"/>
            <w:noWrap/>
            <w:tcMar>
              <w:top w:w="15" w:type="dxa"/>
              <w:left w:w="15" w:type="dxa"/>
              <w:bottom w:w="0" w:type="dxa"/>
              <w:right w:w="15" w:type="dxa"/>
            </w:tcMar>
            <w:vAlign w:val="bottom"/>
          </w:tcPr>
          <w:p w14:paraId="77C749AF" w14:textId="77777777" w:rsidR="0069677A" w:rsidRDefault="0069677A">
            <w:pPr>
              <w:spacing w:line="256" w:lineRule="auto"/>
              <w:jc w:val="right"/>
              <w:rPr>
                <w:rFonts w:eastAsia="Arial Unicode MS"/>
                <w:sz w:val="18"/>
                <w:szCs w:val="18"/>
              </w:rPr>
            </w:pPr>
          </w:p>
        </w:tc>
        <w:tc>
          <w:tcPr>
            <w:tcW w:w="1162" w:type="dxa"/>
            <w:vAlign w:val="bottom"/>
          </w:tcPr>
          <w:p w14:paraId="3362A706" w14:textId="77777777" w:rsidR="0069677A" w:rsidRDefault="0069677A">
            <w:pPr>
              <w:spacing w:line="256" w:lineRule="auto"/>
              <w:jc w:val="right"/>
              <w:rPr>
                <w:rFonts w:eastAsia="Arial Unicode MS"/>
                <w:sz w:val="18"/>
                <w:szCs w:val="18"/>
              </w:rPr>
            </w:pPr>
          </w:p>
        </w:tc>
        <w:tc>
          <w:tcPr>
            <w:tcW w:w="997" w:type="dxa"/>
            <w:vAlign w:val="bottom"/>
          </w:tcPr>
          <w:p w14:paraId="6AAE731C" w14:textId="77777777" w:rsidR="0069677A" w:rsidRDefault="0069677A">
            <w:pPr>
              <w:spacing w:line="256" w:lineRule="auto"/>
              <w:jc w:val="right"/>
              <w:rPr>
                <w:rFonts w:eastAsia="Arial Unicode MS"/>
                <w:sz w:val="18"/>
                <w:szCs w:val="18"/>
              </w:rPr>
            </w:pPr>
          </w:p>
        </w:tc>
        <w:tc>
          <w:tcPr>
            <w:tcW w:w="997" w:type="dxa"/>
            <w:noWrap/>
            <w:tcMar>
              <w:top w:w="15" w:type="dxa"/>
              <w:left w:w="15" w:type="dxa"/>
              <w:bottom w:w="0" w:type="dxa"/>
              <w:right w:w="15" w:type="dxa"/>
            </w:tcMar>
            <w:vAlign w:val="bottom"/>
          </w:tcPr>
          <w:p w14:paraId="4182E285" w14:textId="77777777" w:rsidR="0069677A" w:rsidRDefault="0069677A">
            <w:pPr>
              <w:spacing w:line="256" w:lineRule="auto"/>
              <w:jc w:val="right"/>
              <w:rPr>
                <w:rFonts w:eastAsia="Arial Unicode MS"/>
                <w:sz w:val="18"/>
                <w:szCs w:val="18"/>
              </w:rPr>
            </w:pPr>
          </w:p>
        </w:tc>
        <w:tc>
          <w:tcPr>
            <w:tcW w:w="830" w:type="dxa"/>
            <w:noWrap/>
            <w:tcMar>
              <w:top w:w="15" w:type="dxa"/>
              <w:left w:w="15" w:type="dxa"/>
              <w:bottom w:w="0" w:type="dxa"/>
              <w:right w:w="15" w:type="dxa"/>
            </w:tcMar>
            <w:vAlign w:val="bottom"/>
          </w:tcPr>
          <w:p w14:paraId="5538F0FE" w14:textId="77777777" w:rsidR="0069677A" w:rsidRDefault="0069677A">
            <w:pPr>
              <w:spacing w:line="256" w:lineRule="auto"/>
              <w:jc w:val="right"/>
              <w:rPr>
                <w:rFonts w:eastAsia="Arial Unicode MS"/>
                <w:sz w:val="18"/>
                <w:szCs w:val="18"/>
              </w:rPr>
            </w:pPr>
          </w:p>
        </w:tc>
      </w:tr>
      <w:tr w:rsidR="0069677A" w14:paraId="0AE4A86B" w14:textId="77777777" w:rsidTr="0069677A">
        <w:trPr>
          <w:trHeight w:val="259"/>
        </w:trPr>
        <w:tc>
          <w:tcPr>
            <w:tcW w:w="3100" w:type="dxa"/>
            <w:noWrap/>
            <w:tcMar>
              <w:top w:w="15" w:type="dxa"/>
              <w:left w:w="15" w:type="dxa"/>
              <w:bottom w:w="0" w:type="dxa"/>
              <w:right w:w="15" w:type="dxa"/>
            </w:tcMar>
            <w:vAlign w:val="bottom"/>
            <w:hideMark/>
          </w:tcPr>
          <w:p w14:paraId="0CC38CA3" w14:textId="77777777" w:rsidR="0069677A" w:rsidRDefault="0069677A">
            <w:pPr>
              <w:spacing w:line="256" w:lineRule="auto"/>
              <w:rPr>
                <w:b/>
                <w:sz w:val="18"/>
                <w:szCs w:val="18"/>
              </w:rPr>
            </w:pPr>
            <w:r>
              <w:rPr>
                <w:b/>
                <w:sz w:val="18"/>
                <w:szCs w:val="18"/>
              </w:rPr>
              <w:t>Transactions with owners</w:t>
            </w:r>
          </w:p>
        </w:tc>
        <w:tc>
          <w:tcPr>
            <w:tcW w:w="738" w:type="dxa"/>
            <w:tcBorders>
              <w:top w:val="single" w:sz="4" w:space="0" w:color="auto"/>
              <w:left w:val="nil"/>
              <w:bottom w:val="nil"/>
              <w:right w:val="nil"/>
            </w:tcBorders>
            <w:noWrap/>
            <w:tcMar>
              <w:top w:w="15" w:type="dxa"/>
              <w:left w:w="15" w:type="dxa"/>
              <w:bottom w:w="0" w:type="dxa"/>
              <w:right w:w="15" w:type="dxa"/>
            </w:tcMar>
            <w:vAlign w:val="bottom"/>
            <w:hideMark/>
          </w:tcPr>
          <w:p w14:paraId="44F6EE87" w14:textId="77777777" w:rsidR="0069677A" w:rsidRDefault="0069677A">
            <w:pPr>
              <w:spacing w:line="256" w:lineRule="auto"/>
              <w:jc w:val="right"/>
              <w:rPr>
                <w:rFonts w:eastAsia="Arial Unicode MS"/>
                <w:b/>
                <w:sz w:val="18"/>
                <w:szCs w:val="18"/>
              </w:rPr>
            </w:pPr>
            <w:r>
              <w:rPr>
                <w:rFonts w:eastAsia="Arial Unicode MS"/>
                <w:b/>
                <w:sz w:val="18"/>
                <w:szCs w:val="18"/>
              </w:rPr>
              <w:t>-</w:t>
            </w:r>
          </w:p>
        </w:tc>
        <w:tc>
          <w:tcPr>
            <w:tcW w:w="995" w:type="dxa"/>
            <w:tcBorders>
              <w:top w:val="single" w:sz="4" w:space="0" w:color="auto"/>
              <w:left w:val="nil"/>
              <w:bottom w:val="nil"/>
              <w:right w:val="nil"/>
            </w:tcBorders>
            <w:noWrap/>
            <w:tcMar>
              <w:top w:w="15" w:type="dxa"/>
              <w:left w:w="15" w:type="dxa"/>
              <w:bottom w:w="0" w:type="dxa"/>
              <w:right w:w="15" w:type="dxa"/>
            </w:tcMar>
            <w:vAlign w:val="bottom"/>
            <w:hideMark/>
          </w:tcPr>
          <w:p w14:paraId="50299C6A" w14:textId="77777777" w:rsidR="0069677A" w:rsidRDefault="0069677A">
            <w:pPr>
              <w:spacing w:line="256" w:lineRule="auto"/>
              <w:jc w:val="right"/>
              <w:rPr>
                <w:rFonts w:eastAsia="Arial Unicode MS"/>
                <w:b/>
                <w:sz w:val="18"/>
                <w:szCs w:val="18"/>
              </w:rPr>
            </w:pPr>
            <w:r>
              <w:rPr>
                <w:rFonts w:eastAsia="Arial Unicode MS"/>
                <w:b/>
                <w:sz w:val="18"/>
                <w:szCs w:val="18"/>
              </w:rPr>
              <w:t>-</w:t>
            </w:r>
          </w:p>
        </w:tc>
        <w:tc>
          <w:tcPr>
            <w:tcW w:w="1162" w:type="dxa"/>
            <w:tcBorders>
              <w:top w:val="single" w:sz="4" w:space="0" w:color="auto"/>
              <w:left w:val="nil"/>
              <w:bottom w:val="nil"/>
              <w:right w:val="nil"/>
            </w:tcBorders>
            <w:vAlign w:val="bottom"/>
            <w:hideMark/>
          </w:tcPr>
          <w:p w14:paraId="67627382" w14:textId="66FB6342" w:rsidR="0069677A" w:rsidRDefault="0069677A">
            <w:pPr>
              <w:spacing w:line="256" w:lineRule="auto"/>
              <w:jc w:val="right"/>
              <w:rPr>
                <w:rFonts w:eastAsia="Arial Unicode MS"/>
                <w:b/>
                <w:sz w:val="18"/>
                <w:szCs w:val="18"/>
              </w:rPr>
            </w:pPr>
            <w:r>
              <w:rPr>
                <w:rFonts w:eastAsia="Arial Unicode MS"/>
                <w:b/>
                <w:sz w:val="18"/>
                <w:szCs w:val="18"/>
              </w:rPr>
              <w:t>162</w:t>
            </w:r>
          </w:p>
        </w:tc>
        <w:tc>
          <w:tcPr>
            <w:tcW w:w="997" w:type="dxa"/>
            <w:tcBorders>
              <w:top w:val="single" w:sz="4" w:space="0" w:color="auto"/>
              <w:left w:val="nil"/>
              <w:bottom w:val="nil"/>
              <w:right w:val="nil"/>
            </w:tcBorders>
            <w:vAlign w:val="bottom"/>
            <w:hideMark/>
          </w:tcPr>
          <w:p w14:paraId="46F63CBC" w14:textId="77777777" w:rsidR="0069677A" w:rsidRDefault="0069677A">
            <w:pPr>
              <w:spacing w:line="256" w:lineRule="auto"/>
              <w:jc w:val="right"/>
              <w:rPr>
                <w:rFonts w:eastAsia="Arial Unicode MS"/>
                <w:b/>
                <w:sz w:val="18"/>
                <w:szCs w:val="18"/>
              </w:rPr>
            </w:pPr>
            <w:r>
              <w:rPr>
                <w:rFonts w:eastAsia="Arial Unicode MS"/>
                <w:b/>
                <w:sz w:val="18"/>
                <w:szCs w:val="18"/>
              </w:rPr>
              <w:t>-</w:t>
            </w:r>
          </w:p>
        </w:tc>
        <w:tc>
          <w:tcPr>
            <w:tcW w:w="997" w:type="dxa"/>
            <w:tcBorders>
              <w:top w:val="single" w:sz="4" w:space="0" w:color="auto"/>
              <w:left w:val="nil"/>
              <w:bottom w:val="nil"/>
              <w:right w:val="nil"/>
            </w:tcBorders>
            <w:noWrap/>
            <w:tcMar>
              <w:top w:w="15" w:type="dxa"/>
              <w:left w:w="15" w:type="dxa"/>
              <w:bottom w:w="0" w:type="dxa"/>
              <w:right w:w="15" w:type="dxa"/>
            </w:tcMar>
            <w:vAlign w:val="bottom"/>
            <w:hideMark/>
          </w:tcPr>
          <w:p w14:paraId="6F84D175" w14:textId="6F33E68C" w:rsidR="0069677A" w:rsidRDefault="0069677A">
            <w:pPr>
              <w:spacing w:line="256" w:lineRule="auto"/>
              <w:jc w:val="right"/>
              <w:rPr>
                <w:rFonts w:eastAsia="Arial Unicode MS"/>
                <w:b/>
                <w:sz w:val="18"/>
                <w:szCs w:val="18"/>
              </w:rPr>
            </w:pPr>
            <w:r>
              <w:rPr>
                <w:rFonts w:eastAsia="Arial Unicode MS"/>
                <w:b/>
                <w:sz w:val="18"/>
                <w:szCs w:val="18"/>
              </w:rPr>
              <w:t>1,437</w:t>
            </w:r>
          </w:p>
        </w:tc>
        <w:tc>
          <w:tcPr>
            <w:tcW w:w="830" w:type="dxa"/>
            <w:tcBorders>
              <w:top w:val="single" w:sz="4" w:space="0" w:color="auto"/>
              <w:left w:val="nil"/>
              <w:bottom w:val="nil"/>
              <w:right w:val="nil"/>
            </w:tcBorders>
            <w:noWrap/>
            <w:tcMar>
              <w:top w:w="15" w:type="dxa"/>
              <w:left w:w="15" w:type="dxa"/>
              <w:bottom w:w="0" w:type="dxa"/>
              <w:right w:w="15" w:type="dxa"/>
            </w:tcMar>
            <w:vAlign w:val="bottom"/>
            <w:hideMark/>
          </w:tcPr>
          <w:p w14:paraId="55647B8D" w14:textId="332FD3D3" w:rsidR="0069677A" w:rsidRDefault="0069677A">
            <w:pPr>
              <w:spacing w:line="256" w:lineRule="auto"/>
              <w:jc w:val="right"/>
              <w:rPr>
                <w:rFonts w:eastAsia="Arial Unicode MS"/>
                <w:b/>
                <w:sz w:val="18"/>
                <w:szCs w:val="18"/>
              </w:rPr>
            </w:pPr>
            <w:r>
              <w:rPr>
                <w:rFonts w:eastAsia="Arial Unicode MS"/>
                <w:b/>
                <w:sz w:val="18"/>
                <w:szCs w:val="18"/>
              </w:rPr>
              <w:t>1,599</w:t>
            </w:r>
          </w:p>
        </w:tc>
      </w:tr>
      <w:tr w:rsidR="0069677A" w14:paraId="280F8BB3" w14:textId="77777777" w:rsidTr="0069677A">
        <w:trPr>
          <w:trHeight w:val="275"/>
        </w:trPr>
        <w:tc>
          <w:tcPr>
            <w:tcW w:w="3100" w:type="dxa"/>
            <w:noWrap/>
            <w:tcMar>
              <w:top w:w="15" w:type="dxa"/>
              <w:left w:w="15" w:type="dxa"/>
              <w:bottom w:w="0" w:type="dxa"/>
              <w:right w:w="15" w:type="dxa"/>
            </w:tcMar>
            <w:vAlign w:val="bottom"/>
            <w:hideMark/>
          </w:tcPr>
          <w:p w14:paraId="011DBC55" w14:textId="77777777" w:rsidR="0069677A" w:rsidRDefault="0069677A">
            <w:pPr>
              <w:spacing w:line="256" w:lineRule="auto"/>
              <w:rPr>
                <w:rFonts w:eastAsia="Arial Unicode MS"/>
                <w:b/>
                <w:bCs/>
                <w:sz w:val="18"/>
                <w:szCs w:val="18"/>
              </w:rPr>
            </w:pPr>
            <w:r>
              <w:rPr>
                <w:b/>
                <w:bCs/>
                <w:sz w:val="18"/>
                <w:szCs w:val="18"/>
              </w:rPr>
              <w:t>At 31 December 2020</w:t>
            </w:r>
          </w:p>
        </w:tc>
        <w:tc>
          <w:tcPr>
            <w:tcW w:w="738" w:type="dxa"/>
            <w:tcBorders>
              <w:top w:val="single" w:sz="4" w:space="0" w:color="auto"/>
              <w:left w:val="nil"/>
              <w:bottom w:val="double" w:sz="6" w:space="0" w:color="auto"/>
              <w:right w:val="nil"/>
            </w:tcBorders>
            <w:noWrap/>
            <w:tcMar>
              <w:top w:w="15" w:type="dxa"/>
              <w:left w:w="15" w:type="dxa"/>
              <w:bottom w:w="0" w:type="dxa"/>
              <w:right w:w="15" w:type="dxa"/>
            </w:tcMar>
            <w:vAlign w:val="bottom"/>
            <w:hideMark/>
          </w:tcPr>
          <w:p w14:paraId="6CCEC9D7" w14:textId="77777777" w:rsidR="0069677A" w:rsidRDefault="0069677A">
            <w:pPr>
              <w:spacing w:line="256" w:lineRule="auto"/>
              <w:jc w:val="right"/>
              <w:rPr>
                <w:rFonts w:eastAsia="Arial Unicode MS"/>
                <w:b/>
                <w:bCs/>
                <w:sz w:val="18"/>
                <w:szCs w:val="18"/>
              </w:rPr>
            </w:pPr>
            <w:r>
              <w:rPr>
                <w:rFonts w:eastAsia="Arial Unicode MS"/>
                <w:b/>
                <w:bCs/>
                <w:sz w:val="18"/>
                <w:szCs w:val="18"/>
              </w:rPr>
              <w:t>5,640</w:t>
            </w:r>
          </w:p>
        </w:tc>
        <w:tc>
          <w:tcPr>
            <w:tcW w:w="995" w:type="dxa"/>
            <w:tcBorders>
              <w:top w:val="single" w:sz="4" w:space="0" w:color="auto"/>
              <w:left w:val="nil"/>
              <w:bottom w:val="double" w:sz="6" w:space="0" w:color="auto"/>
              <w:right w:val="nil"/>
            </w:tcBorders>
            <w:noWrap/>
            <w:tcMar>
              <w:top w:w="15" w:type="dxa"/>
              <w:left w:w="15" w:type="dxa"/>
              <w:bottom w:w="0" w:type="dxa"/>
              <w:right w:w="15" w:type="dxa"/>
            </w:tcMar>
            <w:vAlign w:val="bottom"/>
            <w:hideMark/>
          </w:tcPr>
          <w:p w14:paraId="54222974" w14:textId="77777777" w:rsidR="0069677A" w:rsidRDefault="0069677A">
            <w:pPr>
              <w:spacing w:line="256" w:lineRule="auto"/>
              <w:jc w:val="right"/>
              <w:rPr>
                <w:rFonts w:eastAsia="Arial Unicode MS"/>
                <w:b/>
                <w:bCs/>
                <w:sz w:val="18"/>
                <w:szCs w:val="18"/>
              </w:rPr>
            </w:pPr>
            <w:r>
              <w:rPr>
                <w:rFonts w:eastAsia="Arial Unicode MS"/>
                <w:b/>
                <w:bCs/>
                <w:sz w:val="18"/>
                <w:szCs w:val="18"/>
              </w:rPr>
              <w:t>7,321</w:t>
            </w:r>
          </w:p>
        </w:tc>
        <w:tc>
          <w:tcPr>
            <w:tcW w:w="1162" w:type="dxa"/>
            <w:tcBorders>
              <w:top w:val="single" w:sz="4" w:space="0" w:color="auto"/>
              <w:left w:val="nil"/>
              <w:bottom w:val="double" w:sz="6" w:space="0" w:color="auto"/>
              <w:right w:val="nil"/>
            </w:tcBorders>
            <w:vAlign w:val="bottom"/>
            <w:hideMark/>
          </w:tcPr>
          <w:p w14:paraId="3D9D1F2F" w14:textId="77777777" w:rsidR="0069677A" w:rsidRDefault="0069677A">
            <w:pPr>
              <w:spacing w:line="256" w:lineRule="auto"/>
              <w:jc w:val="right"/>
              <w:rPr>
                <w:b/>
                <w:bCs/>
                <w:sz w:val="18"/>
                <w:szCs w:val="18"/>
              </w:rPr>
            </w:pPr>
            <w:r>
              <w:rPr>
                <w:b/>
                <w:bCs/>
                <w:sz w:val="18"/>
                <w:szCs w:val="18"/>
              </w:rPr>
              <w:t>141</w:t>
            </w:r>
          </w:p>
        </w:tc>
        <w:tc>
          <w:tcPr>
            <w:tcW w:w="997" w:type="dxa"/>
            <w:tcBorders>
              <w:top w:val="single" w:sz="4" w:space="0" w:color="auto"/>
              <w:left w:val="nil"/>
              <w:bottom w:val="double" w:sz="6" w:space="0" w:color="auto"/>
              <w:right w:val="nil"/>
            </w:tcBorders>
          </w:tcPr>
          <w:p w14:paraId="4FC211F5" w14:textId="77777777" w:rsidR="0069677A" w:rsidRDefault="0069677A">
            <w:pPr>
              <w:spacing w:line="256" w:lineRule="auto"/>
              <w:jc w:val="right"/>
              <w:rPr>
                <w:rFonts w:eastAsia="Arial Unicode MS"/>
                <w:b/>
                <w:bCs/>
                <w:sz w:val="18"/>
                <w:szCs w:val="18"/>
              </w:rPr>
            </w:pPr>
          </w:p>
          <w:p w14:paraId="6337D392" w14:textId="77777777" w:rsidR="0069677A" w:rsidRDefault="0069677A">
            <w:pPr>
              <w:spacing w:line="256" w:lineRule="auto"/>
              <w:jc w:val="right"/>
              <w:rPr>
                <w:rFonts w:eastAsia="Arial Unicode MS"/>
                <w:b/>
                <w:bCs/>
                <w:sz w:val="18"/>
                <w:szCs w:val="18"/>
              </w:rPr>
            </w:pPr>
            <w:r>
              <w:rPr>
                <w:rFonts w:eastAsia="Arial Unicode MS"/>
                <w:b/>
                <w:bCs/>
                <w:sz w:val="18"/>
                <w:szCs w:val="18"/>
              </w:rPr>
              <w:t>-</w:t>
            </w:r>
          </w:p>
        </w:tc>
        <w:tc>
          <w:tcPr>
            <w:tcW w:w="997" w:type="dxa"/>
            <w:tcBorders>
              <w:top w:val="single" w:sz="4" w:space="0" w:color="auto"/>
              <w:left w:val="nil"/>
              <w:bottom w:val="double" w:sz="6" w:space="0" w:color="auto"/>
              <w:right w:val="nil"/>
            </w:tcBorders>
            <w:noWrap/>
            <w:tcMar>
              <w:top w:w="15" w:type="dxa"/>
              <w:left w:w="15" w:type="dxa"/>
              <w:bottom w:w="0" w:type="dxa"/>
              <w:right w:w="15" w:type="dxa"/>
            </w:tcMar>
            <w:vAlign w:val="bottom"/>
            <w:hideMark/>
          </w:tcPr>
          <w:p w14:paraId="6FBC73A2" w14:textId="77777777" w:rsidR="0069677A" w:rsidRDefault="0069677A">
            <w:pPr>
              <w:spacing w:line="256" w:lineRule="auto"/>
              <w:jc w:val="right"/>
              <w:rPr>
                <w:rFonts w:eastAsia="Arial Unicode MS"/>
                <w:b/>
                <w:bCs/>
                <w:sz w:val="18"/>
                <w:szCs w:val="18"/>
              </w:rPr>
            </w:pPr>
            <w:r>
              <w:rPr>
                <w:rFonts w:eastAsia="Arial Unicode MS"/>
                <w:b/>
                <w:bCs/>
                <w:sz w:val="18"/>
                <w:szCs w:val="18"/>
              </w:rPr>
              <w:t>5,750</w:t>
            </w:r>
          </w:p>
        </w:tc>
        <w:tc>
          <w:tcPr>
            <w:tcW w:w="830" w:type="dxa"/>
            <w:tcBorders>
              <w:top w:val="single" w:sz="4" w:space="0" w:color="auto"/>
              <w:left w:val="nil"/>
              <w:bottom w:val="double" w:sz="6" w:space="0" w:color="auto"/>
              <w:right w:val="nil"/>
            </w:tcBorders>
            <w:noWrap/>
            <w:tcMar>
              <w:top w:w="15" w:type="dxa"/>
              <w:left w:w="15" w:type="dxa"/>
              <w:bottom w:w="0" w:type="dxa"/>
              <w:right w:w="15" w:type="dxa"/>
            </w:tcMar>
            <w:vAlign w:val="bottom"/>
            <w:hideMark/>
          </w:tcPr>
          <w:p w14:paraId="2BAD07C3" w14:textId="77777777" w:rsidR="0069677A" w:rsidRDefault="0069677A">
            <w:pPr>
              <w:spacing w:line="256" w:lineRule="auto"/>
              <w:jc w:val="right"/>
              <w:rPr>
                <w:rFonts w:eastAsia="Arial Unicode MS"/>
                <w:b/>
                <w:bCs/>
                <w:sz w:val="18"/>
                <w:szCs w:val="18"/>
              </w:rPr>
            </w:pPr>
            <w:r>
              <w:rPr>
                <w:rFonts w:eastAsia="Arial Unicode MS"/>
                <w:b/>
                <w:bCs/>
                <w:sz w:val="18"/>
                <w:szCs w:val="18"/>
              </w:rPr>
              <w:t>18,852</w:t>
            </w:r>
          </w:p>
        </w:tc>
      </w:tr>
    </w:tbl>
    <w:p w14:paraId="3875B7BB" w14:textId="44FD4EBC" w:rsidR="00BF6318" w:rsidRDefault="00BF6318" w:rsidP="00921DCA">
      <w:pPr>
        <w:widowControl w:val="0"/>
        <w:spacing w:line="216" w:lineRule="auto"/>
      </w:pPr>
    </w:p>
    <w:p w14:paraId="171654A2" w14:textId="77777777" w:rsidR="00BF6318" w:rsidRPr="009F2CE4" w:rsidRDefault="00BF6318" w:rsidP="00BF6318">
      <w:pPr>
        <w:pStyle w:val="Companyname"/>
        <w:widowControl w:val="0"/>
        <w:spacing w:line="216" w:lineRule="auto"/>
        <w:rPr>
          <w:rFonts w:ascii="Times New Roman" w:hAnsi="Times New Roman"/>
          <w:sz w:val="24"/>
          <w:szCs w:val="24"/>
        </w:rPr>
      </w:pPr>
      <w:r>
        <w:br w:type="page"/>
      </w:r>
    </w:p>
    <w:p w14:paraId="59907080" w14:textId="77777777" w:rsidR="0069677A" w:rsidRDefault="0069677A" w:rsidP="0069677A">
      <w:pPr>
        <w:pBdr>
          <w:bottom w:val="single" w:sz="8" w:space="5" w:color="000000"/>
        </w:pBdr>
        <w:suppressAutoHyphens/>
        <w:overflowPunct/>
        <w:spacing w:line="288" w:lineRule="auto"/>
        <w:textAlignment w:val="center"/>
        <w:rPr>
          <w:b/>
          <w:bCs/>
          <w:i/>
          <w:iCs/>
          <w:caps/>
          <w:color w:val="000000"/>
          <w:sz w:val="22"/>
          <w:szCs w:val="22"/>
          <w:lang w:eastAsia="en-GB"/>
        </w:rPr>
      </w:pPr>
      <w:bookmarkStart w:id="8" w:name="OLE_LINK50"/>
      <w:bookmarkStart w:id="9" w:name="OLE_LINK49"/>
      <w:bookmarkStart w:id="10" w:name="OLE_LINK18"/>
      <w:bookmarkStart w:id="11" w:name="OLE_LINK17"/>
      <w:bookmarkStart w:id="12" w:name="_Hlk64874371"/>
      <w:r>
        <w:rPr>
          <w:b/>
          <w:bCs/>
          <w:caps/>
          <w:color w:val="000000"/>
          <w:sz w:val="22"/>
          <w:szCs w:val="22"/>
          <w:lang w:eastAsia="en-GB"/>
        </w:rPr>
        <w:lastRenderedPageBreak/>
        <w:t xml:space="preserve">Consolidated Cash Flow Statement </w:t>
      </w:r>
    </w:p>
    <w:tbl>
      <w:tblPr>
        <w:tblW w:w="8490" w:type="dxa"/>
        <w:tblInd w:w="15" w:type="dxa"/>
        <w:tblLayout w:type="fixed"/>
        <w:tblCellMar>
          <w:left w:w="0" w:type="dxa"/>
          <w:right w:w="0" w:type="dxa"/>
        </w:tblCellMar>
        <w:tblLook w:val="04A0" w:firstRow="1" w:lastRow="0" w:firstColumn="1" w:lastColumn="0" w:noHBand="0" w:noVBand="1"/>
      </w:tblPr>
      <w:tblGrid>
        <w:gridCol w:w="5387"/>
        <w:gridCol w:w="992"/>
        <w:gridCol w:w="1007"/>
        <w:gridCol w:w="1104"/>
      </w:tblGrid>
      <w:tr w:rsidR="0069677A" w14:paraId="15001105" w14:textId="77777777" w:rsidTr="0069677A">
        <w:trPr>
          <w:trHeight w:val="255"/>
        </w:trPr>
        <w:tc>
          <w:tcPr>
            <w:tcW w:w="5387" w:type="dxa"/>
            <w:noWrap/>
            <w:tcMar>
              <w:top w:w="15" w:type="dxa"/>
              <w:left w:w="15" w:type="dxa"/>
              <w:bottom w:w="0" w:type="dxa"/>
              <w:right w:w="15" w:type="dxa"/>
            </w:tcMar>
            <w:vAlign w:val="bottom"/>
            <w:hideMark/>
          </w:tcPr>
          <w:bookmarkEnd w:id="8"/>
          <w:bookmarkEnd w:id="9"/>
          <w:bookmarkEnd w:id="10"/>
          <w:bookmarkEnd w:id="11"/>
          <w:p w14:paraId="1538D0C5" w14:textId="77777777" w:rsidR="0069677A" w:rsidRDefault="0069677A">
            <w:pPr>
              <w:spacing w:line="256" w:lineRule="auto"/>
              <w:rPr>
                <w:sz w:val="22"/>
                <w:szCs w:val="22"/>
              </w:rPr>
            </w:pPr>
            <w:r>
              <w:rPr>
                <w:sz w:val="22"/>
                <w:szCs w:val="22"/>
              </w:rPr>
              <w:t xml:space="preserve"> </w:t>
            </w:r>
            <w:r>
              <w:rPr>
                <w:i/>
                <w:sz w:val="22"/>
                <w:szCs w:val="22"/>
              </w:rPr>
              <w:t>for the financial year ended 31 December 2020</w:t>
            </w:r>
          </w:p>
        </w:tc>
        <w:tc>
          <w:tcPr>
            <w:tcW w:w="992" w:type="dxa"/>
          </w:tcPr>
          <w:p w14:paraId="3FADC91E" w14:textId="77777777" w:rsidR="0069677A" w:rsidRDefault="0069677A">
            <w:pPr>
              <w:spacing w:line="256" w:lineRule="auto"/>
              <w:rPr>
                <w:b/>
                <w:bCs/>
                <w:sz w:val="22"/>
                <w:szCs w:val="22"/>
              </w:rPr>
            </w:pPr>
          </w:p>
        </w:tc>
        <w:tc>
          <w:tcPr>
            <w:tcW w:w="1007" w:type="dxa"/>
            <w:noWrap/>
            <w:tcMar>
              <w:top w:w="15" w:type="dxa"/>
              <w:left w:w="15" w:type="dxa"/>
              <w:bottom w:w="0" w:type="dxa"/>
              <w:right w:w="15" w:type="dxa"/>
            </w:tcMar>
            <w:vAlign w:val="bottom"/>
            <w:hideMark/>
          </w:tcPr>
          <w:p w14:paraId="09095C8B" w14:textId="77777777" w:rsidR="0069677A" w:rsidRDefault="0069677A">
            <w:pPr>
              <w:spacing w:line="256" w:lineRule="auto"/>
              <w:jc w:val="right"/>
              <w:rPr>
                <w:b/>
                <w:sz w:val="22"/>
                <w:szCs w:val="22"/>
              </w:rPr>
            </w:pPr>
            <w:r>
              <w:rPr>
                <w:b/>
                <w:sz w:val="22"/>
                <w:szCs w:val="22"/>
              </w:rPr>
              <w:t>2020</w:t>
            </w:r>
          </w:p>
        </w:tc>
        <w:tc>
          <w:tcPr>
            <w:tcW w:w="1104" w:type="dxa"/>
            <w:noWrap/>
            <w:tcMar>
              <w:top w:w="15" w:type="dxa"/>
              <w:left w:w="15" w:type="dxa"/>
              <w:bottom w:w="0" w:type="dxa"/>
              <w:right w:w="15" w:type="dxa"/>
            </w:tcMar>
            <w:vAlign w:val="bottom"/>
            <w:hideMark/>
          </w:tcPr>
          <w:p w14:paraId="472FEF67" w14:textId="77777777" w:rsidR="0069677A" w:rsidRDefault="0069677A">
            <w:pPr>
              <w:spacing w:line="256" w:lineRule="auto"/>
              <w:jc w:val="right"/>
              <w:rPr>
                <w:sz w:val="22"/>
                <w:szCs w:val="22"/>
              </w:rPr>
            </w:pPr>
            <w:r>
              <w:rPr>
                <w:sz w:val="22"/>
                <w:szCs w:val="22"/>
              </w:rPr>
              <w:t>2019</w:t>
            </w:r>
          </w:p>
        </w:tc>
      </w:tr>
      <w:tr w:rsidR="0069677A" w14:paraId="6E276223" w14:textId="77777777" w:rsidTr="0069677A">
        <w:trPr>
          <w:trHeight w:val="255"/>
        </w:trPr>
        <w:tc>
          <w:tcPr>
            <w:tcW w:w="5387" w:type="dxa"/>
            <w:noWrap/>
            <w:tcMar>
              <w:top w:w="15" w:type="dxa"/>
              <w:left w:w="15" w:type="dxa"/>
              <w:bottom w:w="0" w:type="dxa"/>
              <w:right w:w="15" w:type="dxa"/>
            </w:tcMar>
            <w:vAlign w:val="bottom"/>
          </w:tcPr>
          <w:p w14:paraId="3E99B50C" w14:textId="77777777" w:rsidR="0069677A" w:rsidRDefault="0069677A">
            <w:pPr>
              <w:spacing w:line="256" w:lineRule="auto"/>
              <w:rPr>
                <w:sz w:val="22"/>
                <w:szCs w:val="22"/>
              </w:rPr>
            </w:pPr>
          </w:p>
        </w:tc>
        <w:tc>
          <w:tcPr>
            <w:tcW w:w="992" w:type="dxa"/>
          </w:tcPr>
          <w:p w14:paraId="29C36B19" w14:textId="77777777" w:rsidR="0069677A" w:rsidRDefault="0069677A">
            <w:pPr>
              <w:spacing w:line="256" w:lineRule="auto"/>
              <w:rPr>
                <w:bCs/>
                <w:sz w:val="22"/>
                <w:szCs w:val="22"/>
              </w:rPr>
            </w:pPr>
          </w:p>
        </w:tc>
        <w:tc>
          <w:tcPr>
            <w:tcW w:w="1007" w:type="dxa"/>
            <w:noWrap/>
            <w:tcMar>
              <w:top w:w="15" w:type="dxa"/>
              <w:left w:w="15" w:type="dxa"/>
              <w:bottom w:w="0" w:type="dxa"/>
              <w:right w:w="15" w:type="dxa"/>
            </w:tcMar>
            <w:hideMark/>
          </w:tcPr>
          <w:p w14:paraId="48F05A79" w14:textId="77777777" w:rsidR="0069677A" w:rsidRDefault="0069677A">
            <w:pPr>
              <w:spacing w:line="256" w:lineRule="auto"/>
              <w:jc w:val="right"/>
              <w:rPr>
                <w:b/>
                <w:sz w:val="22"/>
                <w:szCs w:val="22"/>
              </w:rPr>
            </w:pPr>
            <w:r>
              <w:rPr>
                <w:b/>
                <w:sz w:val="22"/>
                <w:szCs w:val="22"/>
              </w:rPr>
              <w:t>£’000</w:t>
            </w:r>
          </w:p>
        </w:tc>
        <w:tc>
          <w:tcPr>
            <w:tcW w:w="1104" w:type="dxa"/>
            <w:noWrap/>
            <w:tcMar>
              <w:top w:w="15" w:type="dxa"/>
              <w:left w:w="15" w:type="dxa"/>
              <w:bottom w:w="0" w:type="dxa"/>
              <w:right w:w="15" w:type="dxa"/>
            </w:tcMar>
            <w:vAlign w:val="bottom"/>
            <w:hideMark/>
          </w:tcPr>
          <w:p w14:paraId="47CBBD3B" w14:textId="77777777" w:rsidR="0069677A" w:rsidRDefault="0069677A">
            <w:pPr>
              <w:spacing w:line="256" w:lineRule="auto"/>
              <w:jc w:val="right"/>
              <w:rPr>
                <w:sz w:val="22"/>
                <w:szCs w:val="22"/>
              </w:rPr>
            </w:pPr>
            <w:r>
              <w:rPr>
                <w:sz w:val="22"/>
                <w:szCs w:val="22"/>
              </w:rPr>
              <w:t>£’000</w:t>
            </w:r>
          </w:p>
        </w:tc>
      </w:tr>
      <w:tr w:rsidR="0069677A" w14:paraId="032E1B15" w14:textId="77777777" w:rsidTr="0069677A">
        <w:trPr>
          <w:trHeight w:val="117"/>
        </w:trPr>
        <w:tc>
          <w:tcPr>
            <w:tcW w:w="5387" w:type="dxa"/>
            <w:noWrap/>
            <w:tcMar>
              <w:top w:w="15" w:type="dxa"/>
              <w:left w:w="15" w:type="dxa"/>
              <w:bottom w:w="0" w:type="dxa"/>
              <w:right w:w="15" w:type="dxa"/>
            </w:tcMar>
            <w:vAlign w:val="bottom"/>
            <w:hideMark/>
          </w:tcPr>
          <w:p w14:paraId="77ECD385" w14:textId="77777777" w:rsidR="0069677A" w:rsidRDefault="0069677A">
            <w:pPr>
              <w:spacing w:line="256" w:lineRule="auto"/>
              <w:rPr>
                <w:b/>
                <w:bCs/>
                <w:sz w:val="22"/>
                <w:szCs w:val="22"/>
              </w:rPr>
            </w:pPr>
            <w:r>
              <w:rPr>
                <w:b/>
                <w:bCs/>
                <w:sz w:val="22"/>
                <w:szCs w:val="22"/>
              </w:rPr>
              <w:t>Cash flow from operating activities</w:t>
            </w:r>
          </w:p>
        </w:tc>
        <w:tc>
          <w:tcPr>
            <w:tcW w:w="992" w:type="dxa"/>
          </w:tcPr>
          <w:p w14:paraId="537B8A6E" w14:textId="77777777" w:rsidR="0069677A" w:rsidRDefault="0069677A">
            <w:pPr>
              <w:spacing w:line="256" w:lineRule="auto"/>
              <w:rPr>
                <w:bCs/>
                <w:sz w:val="22"/>
                <w:szCs w:val="22"/>
              </w:rPr>
            </w:pPr>
          </w:p>
        </w:tc>
        <w:tc>
          <w:tcPr>
            <w:tcW w:w="1007" w:type="dxa"/>
            <w:noWrap/>
            <w:tcMar>
              <w:top w:w="15" w:type="dxa"/>
              <w:left w:w="15" w:type="dxa"/>
              <w:bottom w:w="0" w:type="dxa"/>
              <w:right w:w="15" w:type="dxa"/>
            </w:tcMar>
          </w:tcPr>
          <w:p w14:paraId="457A7434" w14:textId="77777777" w:rsidR="0069677A" w:rsidRDefault="0069677A">
            <w:pPr>
              <w:spacing w:line="256" w:lineRule="auto"/>
              <w:rPr>
                <w:b/>
                <w:sz w:val="22"/>
                <w:szCs w:val="22"/>
              </w:rPr>
            </w:pPr>
          </w:p>
        </w:tc>
        <w:tc>
          <w:tcPr>
            <w:tcW w:w="1104" w:type="dxa"/>
            <w:noWrap/>
            <w:tcMar>
              <w:top w:w="15" w:type="dxa"/>
              <w:left w:w="15" w:type="dxa"/>
              <w:bottom w:w="0" w:type="dxa"/>
              <w:right w:w="15" w:type="dxa"/>
            </w:tcMar>
            <w:vAlign w:val="bottom"/>
          </w:tcPr>
          <w:p w14:paraId="05C8CB5B" w14:textId="77777777" w:rsidR="0069677A" w:rsidRDefault="0069677A">
            <w:pPr>
              <w:spacing w:line="256" w:lineRule="auto"/>
              <w:rPr>
                <w:sz w:val="22"/>
                <w:szCs w:val="22"/>
              </w:rPr>
            </w:pPr>
          </w:p>
        </w:tc>
      </w:tr>
      <w:tr w:rsidR="0069677A" w14:paraId="3EF7B438" w14:textId="77777777" w:rsidTr="0069677A">
        <w:trPr>
          <w:trHeight w:val="255"/>
        </w:trPr>
        <w:tc>
          <w:tcPr>
            <w:tcW w:w="5387" w:type="dxa"/>
            <w:noWrap/>
            <w:tcMar>
              <w:top w:w="15" w:type="dxa"/>
              <w:left w:w="15" w:type="dxa"/>
              <w:bottom w:w="0" w:type="dxa"/>
              <w:right w:w="15" w:type="dxa"/>
            </w:tcMar>
            <w:vAlign w:val="bottom"/>
            <w:hideMark/>
          </w:tcPr>
          <w:p w14:paraId="1AD1B0E0" w14:textId="77777777" w:rsidR="0069677A" w:rsidRDefault="0069677A">
            <w:pPr>
              <w:spacing w:line="256" w:lineRule="auto"/>
              <w:rPr>
                <w:sz w:val="22"/>
                <w:szCs w:val="22"/>
              </w:rPr>
            </w:pPr>
            <w:r>
              <w:rPr>
                <w:bCs/>
                <w:sz w:val="22"/>
                <w:szCs w:val="22"/>
              </w:rPr>
              <w:t>Profit on continuing activities before taxation</w:t>
            </w:r>
          </w:p>
        </w:tc>
        <w:tc>
          <w:tcPr>
            <w:tcW w:w="992" w:type="dxa"/>
          </w:tcPr>
          <w:p w14:paraId="797B3659" w14:textId="77777777" w:rsidR="0069677A" w:rsidRDefault="0069677A">
            <w:pPr>
              <w:spacing w:line="256" w:lineRule="auto"/>
              <w:rPr>
                <w:bCs/>
                <w:sz w:val="22"/>
                <w:szCs w:val="22"/>
              </w:rPr>
            </w:pPr>
          </w:p>
        </w:tc>
        <w:tc>
          <w:tcPr>
            <w:tcW w:w="1007" w:type="dxa"/>
            <w:noWrap/>
            <w:tcMar>
              <w:top w:w="15" w:type="dxa"/>
              <w:left w:w="15" w:type="dxa"/>
              <w:bottom w:w="0" w:type="dxa"/>
              <w:right w:w="15" w:type="dxa"/>
            </w:tcMar>
            <w:vAlign w:val="bottom"/>
            <w:hideMark/>
          </w:tcPr>
          <w:p w14:paraId="06E0F54A" w14:textId="77777777" w:rsidR="0069677A" w:rsidRDefault="0069677A">
            <w:pPr>
              <w:spacing w:line="256" w:lineRule="auto"/>
              <w:jc w:val="right"/>
              <w:rPr>
                <w:b/>
                <w:sz w:val="22"/>
                <w:szCs w:val="22"/>
              </w:rPr>
            </w:pPr>
            <w:r>
              <w:rPr>
                <w:b/>
                <w:sz w:val="22"/>
                <w:szCs w:val="22"/>
              </w:rPr>
              <w:t>1,977</w:t>
            </w:r>
          </w:p>
        </w:tc>
        <w:tc>
          <w:tcPr>
            <w:tcW w:w="1104" w:type="dxa"/>
            <w:noWrap/>
            <w:tcMar>
              <w:top w:w="15" w:type="dxa"/>
              <w:left w:w="15" w:type="dxa"/>
              <w:bottom w:w="0" w:type="dxa"/>
              <w:right w:w="15" w:type="dxa"/>
            </w:tcMar>
            <w:vAlign w:val="bottom"/>
            <w:hideMark/>
          </w:tcPr>
          <w:p w14:paraId="7F2EBC38" w14:textId="77777777" w:rsidR="0069677A" w:rsidRDefault="0069677A">
            <w:pPr>
              <w:spacing w:line="256" w:lineRule="auto"/>
              <w:jc w:val="right"/>
              <w:rPr>
                <w:sz w:val="22"/>
                <w:szCs w:val="22"/>
              </w:rPr>
            </w:pPr>
            <w:r>
              <w:rPr>
                <w:sz w:val="22"/>
                <w:szCs w:val="22"/>
              </w:rPr>
              <w:t>2,315</w:t>
            </w:r>
          </w:p>
        </w:tc>
      </w:tr>
      <w:tr w:rsidR="0069677A" w14:paraId="750C0507" w14:textId="77777777" w:rsidTr="0069677A">
        <w:trPr>
          <w:trHeight w:val="255"/>
        </w:trPr>
        <w:tc>
          <w:tcPr>
            <w:tcW w:w="5387" w:type="dxa"/>
            <w:noWrap/>
            <w:tcMar>
              <w:top w:w="15" w:type="dxa"/>
              <w:left w:w="15" w:type="dxa"/>
              <w:bottom w:w="0" w:type="dxa"/>
              <w:right w:w="15" w:type="dxa"/>
            </w:tcMar>
            <w:vAlign w:val="bottom"/>
            <w:hideMark/>
          </w:tcPr>
          <w:p w14:paraId="3FC99632" w14:textId="77777777" w:rsidR="0069677A" w:rsidRDefault="0069677A">
            <w:pPr>
              <w:spacing w:line="256" w:lineRule="auto"/>
              <w:rPr>
                <w:bCs/>
                <w:sz w:val="22"/>
                <w:szCs w:val="22"/>
              </w:rPr>
            </w:pPr>
            <w:r>
              <w:rPr>
                <w:bCs/>
                <w:sz w:val="22"/>
                <w:szCs w:val="22"/>
              </w:rPr>
              <w:t>Gain on biological assets</w:t>
            </w:r>
          </w:p>
        </w:tc>
        <w:tc>
          <w:tcPr>
            <w:tcW w:w="992" w:type="dxa"/>
          </w:tcPr>
          <w:p w14:paraId="3393CB70" w14:textId="77777777" w:rsidR="0069677A" w:rsidRDefault="0069677A">
            <w:pPr>
              <w:spacing w:line="256" w:lineRule="auto"/>
              <w:rPr>
                <w:bCs/>
                <w:sz w:val="22"/>
                <w:szCs w:val="22"/>
              </w:rPr>
            </w:pPr>
          </w:p>
        </w:tc>
        <w:tc>
          <w:tcPr>
            <w:tcW w:w="1007" w:type="dxa"/>
            <w:noWrap/>
            <w:tcMar>
              <w:top w:w="15" w:type="dxa"/>
              <w:left w:w="15" w:type="dxa"/>
              <w:bottom w:w="0" w:type="dxa"/>
              <w:right w:w="15" w:type="dxa"/>
            </w:tcMar>
            <w:vAlign w:val="bottom"/>
            <w:hideMark/>
          </w:tcPr>
          <w:p w14:paraId="47F06845" w14:textId="77777777" w:rsidR="0069677A" w:rsidRDefault="0069677A">
            <w:pPr>
              <w:spacing w:line="256" w:lineRule="auto"/>
              <w:jc w:val="right"/>
              <w:rPr>
                <w:b/>
                <w:sz w:val="22"/>
                <w:szCs w:val="22"/>
              </w:rPr>
            </w:pPr>
            <w:r>
              <w:rPr>
                <w:b/>
                <w:sz w:val="22"/>
                <w:szCs w:val="22"/>
              </w:rPr>
              <w:t>(182)</w:t>
            </w:r>
          </w:p>
        </w:tc>
        <w:tc>
          <w:tcPr>
            <w:tcW w:w="1104" w:type="dxa"/>
            <w:noWrap/>
            <w:tcMar>
              <w:top w:w="15" w:type="dxa"/>
              <w:left w:w="15" w:type="dxa"/>
              <w:bottom w:w="0" w:type="dxa"/>
              <w:right w:w="15" w:type="dxa"/>
            </w:tcMar>
            <w:vAlign w:val="bottom"/>
            <w:hideMark/>
          </w:tcPr>
          <w:p w14:paraId="6CDCFE13" w14:textId="77777777" w:rsidR="0069677A" w:rsidRDefault="0069677A">
            <w:pPr>
              <w:spacing w:line="256" w:lineRule="auto"/>
              <w:jc w:val="right"/>
              <w:rPr>
                <w:sz w:val="22"/>
                <w:szCs w:val="22"/>
              </w:rPr>
            </w:pPr>
            <w:r>
              <w:rPr>
                <w:sz w:val="22"/>
                <w:szCs w:val="22"/>
              </w:rPr>
              <w:t>(107)</w:t>
            </w:r>
          </w:p>
        </w:tc>
      </w:tr>
      <w:tr w:rsidR="0069677A" w14:paraId="3EB0C935" w14:textId="77777777" w:rsidTr="0069677A">
        <w:trPr>
          <w:trHeight w:val="255"/>
        </w:trPr>
        <w:tc>
          <w:tcPr>
            <w:tcW w:w="5387" w:type="dxa"/>
            <w:noWrap/>
            <w:tcMar>
              <w:top w:w="15" w:type="dxa"/>
              <w:left w:w="15" w:type="dxa"/>
              <w:bottom w:w="0" w:type="dxa"/>
              <w:right w:w="15" w:type="dxa"/>
            </w:tcMar>
            <w:vAlign w:val="bottom"/>
            <w:hideMark/>
          </w:tcPr>
          <w:p w14:paraId="6929CD8F" w14:textId="77777777" w:rsidR="0069677A" w:rsidRDefault="0069677A">
            <w:pPr>
              <w:spacing w:line="256" w:lineRule="auto"/>
              <w:rPr>
                <w:sz w:val="22"/>
                <w:szCs w:val="22"/>
              </w:rPr>
            </w:pPr>
            <w:r>
              <w:rPr>
                <w:sz w:val="22"/>
                <w:szCs w:val="22"/>
              </w:rPr>
              <w:t xml:space="preserve">Foreign exchange (gain)/loss </w:t>
            </w:r>
          </w:p>
        </w:tc>
        <w:tc>
          <w:tcPr>
            <w:tcW w:w="992" w:type="dxa"/>
          </w:tcPr>
          <w:p w14:paraId="03BFD612" w14:textId="77777777" w:rsidR="0069677A" w:rsidRDefault="0069677A">
            <w:pPr>
              <w:spacing w:line="256" w:lineRule="auto"/>
              <w:rPr>
                <w:bCs/>
                <w:sz w:val="22"/>
                <w:szCs w:val="22"/>
              </w:rPr>
            </w:pPr>
          </w:p>
        </w:tc>
        <w:tc>
          <w:tcPr>
            <w:tcW w:w="1007" w:type="dxa"/>
            <w:noWrap/>
            <w:tcMar>
              <w:top w:w="15" w:type="dxa"/>
              <w:left w:w="15" w:type="dxa"/>
              <w:bottom w:w="0" w:type="dxa"/>
              <w:right w:w="15" w:type="dxa"/>
            </w:tcMar>
            <w:vAlign w:val="bottom"/>
            <w:hideMark/>
          </w:tcPr>
          <w:p w14:paraId="71843253" w14:textId="77777777" w:rsidR="0069677A" w:rsidRDefault="0069677A">
            <w:pPr>
              <w:spacing w:line="256" w:lineRule="auto"/>
              <w:jc w:val="right"/>
              <w:rPr>
                <w:b/>
                <w:sz w:val="22"/>
                <w:szCs w:val="22"/>
              </w:rPr>
            </w:pPr>
            <w:r>
              <w:rPr>
                <w:b/>
                <w:sz w:val="22"/>
                <w:szCs w:val="22"/>
              </w:rPr>
              <w:t>(55)</w:t>
            </w:r>
          </w:p>
        </w:tc>
        <w:tc>
          <w:tcPr>
            <w:tcW w:w="1104" w:type="dxa"/>
            <w:noWrap/>
            <w:tcMar>
              <w:top w:w="15" w:type="dxa"/>
              <w:left w:w="15" w:type="dxa"/>
              <w:bottom w:w="0" w:type="dxa"/>
              <w:right w:w="15" w:type="dxa"/>
            </w:tcMar>
            <w:vAlign w:val="bottom"/>
            <w:hideMark/>
          </w:tcPr>
          <w:p w14:paraId="778B866C" w14:textId="77777777" w:rsidR="0069677A" w:rsidRDefault="0069677A">
            <w:pPr>
              <w:spacing w:line="256" w:lineRule="auto"/>
              <w:jc w:val="right"/>
              <w:rPr>
                <w:sz w:val="22"/>
                <w:szCs w:val="22"/>
              </w:rPr>
            </w:pPr>
            <w:r>
              <w:rPr>
                <w:sz w:val="22"/>
                <w:szCs w:val="22"/>
              </w:rPr>
              <w:t>97</w:t>
            </w:r>
          </w:p>
        </w:tc>
      </w:tr>
      <w:tr w:rsidR="0069677A" w14:paraId="669D7C78" w14:textId="77777777" w:rsidTr="0069677A">
        <w:trPr>
          <w:trHeight w:val="255"/>
        </w:trPr>
        <w:tc>
          <w:tcPr>
            <w:tcW w:w="5387" w:type="dxa"/>
            <w:noWrap/>
            <w:tcMar>
              <w:top w:w="15" w:type="dxa"/>
              <w:left w:w="15" w:type="dxa"/>
              <w:bottom w:w="0" w:type="dxa"/>
              <w:right w:w="15" w:type="dxa"/>
            </w:tcMar>
            <w:vAlign w:val="bottom"/>
            <w:hideMark/>
          </w:tcPr>
          <w:p w14:paraId="1F23C65B" w14:textId="77777777" w:rsidR="0069677A" w:rsidRDefault="0069677A">
            <w:pPr>
              <w:spacing w:line="256" w:lineRule="auto"/>
              <w:rPr>
                <w:sz w:val="22"/>
                <w:szCs w:val="22"/>
              </w:rPr>
            </w:pPr>
            <w:r>
              <w:rPr>
                <w:sz w:val="22"/>
                <w:szCs w:val="22"/>
              </w:rPr>
              <w:t>Loss on discontinued activities</w:t>
            </w:r>
          </w:p>
        </w:tc>
        <w:tc>
          <w:tcPr>
            <w:tcW w:w="992" w:type="dxa"/>
          </w:tcPr>
          <w:p w14:paraId="3A7D4B34" w14:textId="77777777" w:rsidR="0069677A" w:rsidRDefault="0069677A">
            <w:pPr>
              <w:spacing w:line="256" w:lineRule="auto"/>
              <w:rPr>
                <w:bCs/>
                <w:sz w:val="22"/>
                <w:szCs w:val="22"/>
              </w:rPr>
            </w:pPr>
          </w:p>
        </w:tc>
        <w:tc>
          <w:tcPr>
            <w:tcW w:w="1007" w:type="dxa"/>
            <w:noWrap/>
            <w:tcMar>
              <w:top w:w="15" w:type="dxa"/>
              <w:left w:w="15" w:type="dxa"/>
              <w:bottom w:w="0" w:type="dxa"/>
              <w:right w:w="15" w:type="dxa"/>
            </w:tcMar>
            <w:vAlign w:val="bottom"/>
            <w:hideMark/>
          </w:tcPr>
          <w:p w14:paraId="73BAE1EE" w14:textId="77777777" w:rsidR="0069677A" w:rsidRDefault="0069677A">
            <w:pPr>
              <w:spacing w:line="256" w:lineRule="auto"/>
              <w:jc w:val="right"/>
              <w:rPr>
                <w:b/>
                <w:sz w:val="22"/>
                <w:szCs w:val="22"/>
              </w:rPr>
            </w:pPr>
            <w:r>
              <w:rPr>
                <w:b/>
                <w:sz w:val="22"/>
                <w:szCs w:val="22"/>
              </w:rPr>
              <w:t>(71)</w:t>
            </w:r>
          </w:p>
        </w:tc>
        <w:tc>
          <w:tcPr>
            <w:tcW w:w="1104" w:type="dxa"/>
            <w:noWrap/>
            <w:tcMar>
              <w:top w:w="15" w:type="dxa"/>
              <w:left w:w="15" w:type="dxa"/>
              <w:bottom w:w="0" w:type="dxa"/>
              <w:right w:w="15" w:type="dxa"/>
            </w:tcMar>
            <w:vAlign w:val="bottom"/>
            <w:hideMark/>
          </w:tcPr>
          <w:p w14:paraId="637A51B5" w14:textId="77777777" w:rsidR="0069677A" w:rsidRDefault="0069677A">
            <w:pPr>
              <w:spacing w:line="256" w:lineRule="auto"/>
              <w:jc w:val="right"/>
              <w:rPr>
                <w:sz w:val="22"/>
                <w:szCs w:val="22"/>
              </w:rPr>
            </w:pPr>
            <w:r>
              <w:rPr>
                <w:sz w:val="22"/>
                <w:szCs w:val="22"/>
              </w:rPr>
              <w:t>(62)</w:t>
            </w:r>
          </w:p>
        </w:tc>
      </w:tr>
      <w:tr w:rsidR="0069677A" w14:paraId="5C5FE067" w14:textId="77777777" w:rsidTr="0069677A">
        <w:trPr>
          <w:trHeight w:val="255"/>
        </w:trPr>
        <w:tc>
          <w:tcPr>
            <w:tcW w:w="5387" w:type="dxa"/>
            <w:noWrap/>
            <w:tcMar>
              <w:top w:w="15" w:type="dxa"/>
              <w:left w:w="15" w:type="dxa"/>
              <w:bottom w:w="0" w:type="dxa"/>
              <w:right w:w="15" w:type="dxa"/>
            </w:tcMar>
            <w:vAlign w:val="bottom"/>
            <w:hideMark/>
          </w:tcPr>
          <w:p w14:paraId="42BD0121" w14:textId="77777777" w:rsidR="0069677A" w:rsidRDefault="0069677A">
            <w:pPr>
              <w:spacing w:line="256" w:lineRule="auto"/>
              <w:rPr>
                <w:sz w:val="22"/>
                <w:szCs w:val="22"/>
              </w:rPr>
            </w:pPr>
            <w:r>
              <w:rPr>
                <w:sz w:val="22"/>
                <w:szCs w:val="22"/>
              </w:rPr>
              <w:t>Finance expenses</w:t>
            </w:r>
          </w:p>
        </w:tc>
        <w:tc>
          <w:tcPr>
            <w:tcW w:w="992" w:type="dxa"/>
          </w:tcPr>
          <w:p w14:paraId="67E11A4A" w14:textId="77777777" w:rsidR="0069677A" w:rsidRDefault="0069677A">
            <w:pPr>
              <w:spacing w:line="256" w:lineRule="auto"/>
              <w:rPr>
                <w:bCs/>
                <w:sz w:val="22"/>
                <w:szCs w:val="22"/>
              </w:rPr>
            </w:pPr>
          </w:p>
        </w:tc>
        <w:tc>
          <w:tcPr>
            <w:tcW w:w="1007" w:type="dxa"/>
            <w:noWrap/>
            <w:tcMar>
              <w:top w:w="15" w:type="dxa"/>
              <w:left w:w="15" w:type="dxa"/>
              <w:bottom w:w="0" w:type="dxa"/>
              <w:right w:w="15" w:type="dxa"/>
            </w:tcMar>
            <w:vAlign w:val="bottom"/>
            <w:hideMark/>
          </w:tcPr>
          <w:p w14:paraId="41BA77C7" w14:textId="77777777" w:rsidR="0069677A" w:rsidRDefault="0069677A">
            <w:pPr>
              <w:spacing w:line="256" w:lineRule="auto"/>
              <w:jc w:val="right"/>
              <w:rPr>
                <w:b/>
                <w:sz w:val="22"/>
                <w:szCs w:val="22"/>
              </w:rPr>
            </w:pPr>
            <w:r>
              <w:rPr>
                <w:b/>
                <w:sz w:val="22"/>
                <w:szCs w:val="22"/>
              </w:rPr>
              <w:t>316</w:t>
            </w:r>
          </w:p>
        </w:tc>
        <w:tc>
          <w:tcPr>
            <w:tcW w:w="1104" w:type="dxa"/>
            <w:noWrap/>
            <w:tcMar>
              <w:top w:w="15" w:type="dxa"/>
              <w:left w:w="15" w:type="dxa"/>
              <w:bottom w:w="0" w:type="dxa"/>
              <w:right w:w="15" w:type="dxa"/>
            </w:tcMar>
            <w:vAlign w:val="bottom"/>
            <w:hideMark/>
          </w:tcPr>
          <w:p w14:paraId="2991E08A" w14:textId="77777777" w:rsidR="0069677A" w:rsidRDefault="0069677A">
            <w:pPr>
              <w:spacing w:line="256" w:lineRule="auto"/>
              <w:jc w:val="right"/>
              <w:rPr>
                <w:sz w:val="22"/>
                <w:szCs w:val="22"/>
              </w:rPr>
            </w:pPr>
            <w:r>
              <w:rPr>
                <w:sz w:val="22"/>
                <w:szCs w:val="22"/>
              </w:rPr>
              <w:t>349</w:t>
            </w:r>
          </w:p>
        </w:tc>
      </w:tr>
      <w:tr w:rsidR="0069677A" w14:paraId="24662CFA" w14:textId="77777777" w:rsidTr="0069677A">
        <w:trPr>
          <w:trHeight w:val="255"/>
        </w:trPr>
        <w:tc>
          <w:tcPr>
            <w:tcW w:w="5387" w:type="dxa"/>
            <w:noWrap/>
            <w:tcMar>
              <w:top w:w="15" w:type="dxa"/>
              <w:left w:w="15" w:type="dxa"/>
              <w:bottom w:w="0" w:type="dxa"/>
              <w:right w:w="15" w:type="dxa"/>
            </w:tcMar>
            <w:vAlign w:val="bottom"/>
            <w:hideMark/>
          </w:tcPr>
          <w:p w14:paraId="6530BA30" w14:textId="77777777" w:rsidR="0069677A" w:rsidRDefault="0069677A">
            <w:pPr>
              <w:spacing w:line="256" w:lineRule="auto"/>
              <w:rPr>
                <w:sz w:val="22"/>
                <w:szCs w:val="22"/>
              </w:rPr>
            </w:pPr>
            <w:r>
              <w:rPr>
                <w:sz w:val="22"/>
                <w:szCs w:val="22"/>
              </w:rPr>
              <w:t xml:space="preserve">Finance income </w:t>
            </w:r>
          </w:p>
        </w:tc>
        <w:tc>
          <w:tcPr>
            <w:tcW w:w="992" w:type="dxa"/>
          </w:tcPr>
          <w:p w14:paraId="1963BD6C" w14:textId="77777777" w:rsidR="0069677A" w:rsidRDefault="0069677A">
            <w:pPr>
              <w:spacing w:line="256" w:lineRule="auto"/>
              <w:rPr>
                <w:bCs/>
                <w:sz w:val="22"/>
                <w:szCs w:val="22"/>
              </w:rPr>
            </w:pPr>
          </w:p>
        </w:tc>
        <w:tc>
          <w:tcPr>
            <w:tcW w:w="1007" w:type="dxa"/>
            <w:noWrap/>
            <w:tcMar>
              <w:top w:w="15" w:type="dxa"/>
              <w:left w:w="15" w:type="dxa"/>
              <w:bottom w:w="0" w:type="dxa"/>
              <w:right w:w="15" w:type="dxa"/>
            </w:tcMar>
            <w:vAlign w:val="bottom"/>
            <w:hideMark/>
          </w:tcPr>
          <w:p w14:paraId="2266A6FC" w14:textId="77777777" w:rsidR="0069677A" w:rsidRDefault="0069677A">
            <w:pPr>
              <w:spacing w:line="256" w:lineRule="auto"/>
              <w:jc w:val="right"/>
              <w:rPr>
                <w:b/>
                <w:sz w:val="22"/>
                <w:szCs w:val="22"/>
              </w:rPr>
            </w:pPr>
            <w:r>
              <w:rPr>
                <w:b/>
                <w:sz w:val="22"/>
                <w:szCs w:val="22"/>
              </w:rPr>
              <w:t>(1)</w:t>
            </w:r>
          </w:p>
        </w:tc>
        <w:tc>
          <w:tcPr>
            <w:tcW w:w="1104" w:type="dxa"/>
            <w:noWrap/>
            <w:tcMar>
              <w:top w:w="15" w:type="dxa"/>
              <w:left w:w="15" w:type="dxa"/>
              <w:bottom w:w="0" w:type="dxa"/>
              <w:right w:w="15" w:type="dxa"/>
            </w:tcMar>
            <w:vAlign w:val="bottom"/>
            <w:hideMark/>
          </w:tcPr>
          <w:p w14:paraId="5720E7B7" w14:textId="77777777" w:rsidR="0069677A" w:rsidRDefault="0069677A">
            <w:pPr>
              <w:spacing w:line="256" w:lineRule="auto"/>
              <w:jc w:val="right"/>
              <w:rPr>
                <w:sz w:val="22"/>
                <w:szCs w:val="22"/>
              </w:rPr>
            </w:pPr>
            <w:r>
              <w:rPr>
                <w:sz w:val="22"/>
                <w:szCs w:val="22"/>
              </w:rPr>
              <w:t>(1)</w:t>
            </w:r>
          </w:p>
        </w:tc>
      </w:tr>
      <w:tr w:rsidR="0069677A" w14:paraId="7B07173C" w14:textId="77777777" w:rsidTr="0069677A">
        <w:trPr>
          <w:trHeight w:val="255"/>
        </w:trPr>
        <w:tc>
          <w:tcPr>
            <w:tcW w:w="5387" w:type="dxa"/>
            <w:noWrap/>
            <w:tcMar>
              <w:top w:w="15" w:type="dxa"/>
              <w:left w:w="15" w:type="dxa"/>
              <w:bottom w:w="0" w:type="dxa"/>
              <w:right w:w="15" w:type="dxa"/>
            </w:tcMar>
            <w:vAlign w:val="bottom"/>
            <w:hideMark/>
          </w:tcPr>
          <w:p w14:paraId="7ED82FF5" w14:textId="77777777" w:rsidR="0069677A" w:rsidRDefault="0069677A">
            <w:pPr>
              <w:spacing w:line="256" w:lineRule="auto"/>
              <w:rPr>
                <w:sz w:val="22"/>
                <w:szCs w:val="22"/>
              </w:rPr>
            </w:pPr>
            <w:r>
              <w:rPr>
                <w:sz w:val="22"/>
                <w:szCs w:val="22"/>
              </w:rPr>
              <w:t>Depreciation – property, plant and equipment-net</w:t>
            </w:r>
          </w:p>
        </w:tc>
        <w:tc>
          <w:tcPr>
            <w:tcW w:w="992" w:type="dxa"/>
          </w:tcPr>
          <w:p w14:paraId="46B4D299" w14:textId="77777777" w:rsidR="0069677A" w:rsidRDefault="0069677A">
            <w:pPr>
              <w:spacing w:line="256" w:lineRule="auto"/>
              <w:rPr>
                <w:bCs/>
                <w:sz w:val="22"/>
                <w:szCs w:val="22"/>
              </w:rPr>
            </w:pPr>
          </w:p>
        </w:tc>
        <w:tc>
          <w:tcPr>
            <w:tcW w:w="1007" w:type="dxa"/>
            <w:noWrap/>
            <w:tcMar>
              <w:top w:w="15" w:type="dxa"/>
              <w:left w:w="15" w:type="dxa"/>
              <w:bottom w:w="0" w:type="dxa"/>
              <w:right w:w="15" w:type="dxa"/>
            </w:tcMar>
            <w:vAlign w:val="bottom"/>
            <w:hideMark/>
          </w:tcPr>
          <w:p w14:paraId="22001685" w14:textId="77777777" w:rsidR="0069677A" w:rsidRDefault="0069677A">
            <w:pPr>
              <w:spacing w:line="256" w:lineRule="auto"/>
              <w:jc w:val="right"/>
              <w:rPr>
                <w:b/>
                <w:sz w:val="22"/>
                <w:szCs w:val="22"/>
              </w:rPr>
            </w:pPr>
            <w:r>
              <w:rPr>
                <w:b/>
                <w:sz w:val="22"/>
                <w:szCs w:val="22"/>
              </w:rPr>
              <w:t>1,789</w:t>
            </w:r>
          </w:p>
        </w:tc>
        <w:tc>
          <w:tcPr>
            <w:tcW w:w="1104" w:type="dxa"/>
            <w:noWrap/>
            <w:tcMar>
              <w:top w:w="15" w:type="dxa"/>
              <w:left w:w="15" w:type="dxa"/>
              <w:bottom w:w="0" w:type="dxa"/>
              <w:right w:w="15" w:type="dxa"/>
            </w:tcMar>
            <w:vAlign w:val="bottom"/>
            <w:hideMark/>
          </w:tcPr>
          <w:p w14:paraId="786CA51C" w14:textId="77777777" w:rsidR="0069677A" w:rsidRDefault="0069677A">
            <w:pPr>
              <w:spacing w:line="256" w:lineRule="auto"/>
              <w:jc w:val="right"/>
              <w:rPr>
                <w:sz w:val="22"/>
                <w:szCs w:val="22"/>
              </w:rPr>
            </w:pPr>
            <w:r>
              <w:rPr>
                <w:sz w:val="22"/>
                <w:szCs w:val="22"/>
              </w:rPr>
              <w:t>1,649</w:t>
            </w:r>
          </w:p>
        </w:tc>
      </w:tr>
      <w:tr w:rsidR="0069677A" w14:paraId="2569059C" w14:textId="77777777" w:rsidTr="0069677A">
        <w:trPr>
          <w:trHeight w:val="255"/>
        </w:trPr>
        <w:tc>
          <w:tcPr>
            <w:tcW w:w="5387" w:type="dxa"/>
            <w:noWrap/>
            <w:tcMar>
              <w:top w:w="15" w:type="dxa"/>
              <w:left w:w="15" w:type="dxa"/>
              <w:bottom w:w="0" w:type="dxa"/>
              <w:right w:w="15" w:type="dxa"/>
            </w:tcMar>
            <w:vAlign w:val="bottom"/>
            <w:hideMark/>
          </w:tcPr>
          <w:p w14:paraId="5A134092" w14:textId="77777777" w:rsidR="0069677A" w:rsidRDefault="0069677A">
            <w:pPr>
              <w:spacing w:line="256" w:lineRule="auto"/>
              <w:rPr>
                <w:b/>
                <w:sz w:val="22"/>
                <w:szCs w:val="22"/>
              </w:rPr>
            </w:pPr>
            <w:r>
              <w:rPr>
                <w:b/>
                <w:sz w:val="22"/>
                <w:szCs w:val="22"/>
              </w:rPr>
              <w:t xml:space="preserve">Operating cash flows before changes in working capital </w:t>
            </w:r>
          </w:p>
        </w:tc>
        <w:tc>
          <w:tcPr>
            <w:tcW w:w="992" w:type="dxa"/>
          </w:tcPr>
          <w:p w14:paraId="2FA110E9" w14:textId="77777777" w:rsidR="0069677A" w:rsidRDefault="0069677A">
            <w:pPr>
              <w:spacing w:line="256" w:lineRule="auto"/>
              <w:rPr>
                <w:bCs/>
                <w:sz w:val="22"/>
                <w:szCs w:val="22"/>
              </w:rPr>
            </w:pPr>
          </w:p>
        </w:tc>
        <w:tc>
          <w:tcPr>
            <w:tcW w:w="1007" w:type="dxa"/>
            <w:tcBorders>
              <w:top w:val="single" w:sz="4" w:space="0" w:color="auto"/>
              <w:left w:val="nil"/>
              <w:bottom w:val="nil"/>
              <w:right w:val="nil"/>
            </w:tcBorders>
            <w:noWrap/>
            <w:tcMar>
              <w:top w:w="15" w:type="dxa"/>
              <w:left w:w="15" w:type="dxa"/>
              <w:bottom w:w="0" w:type="dxa"/>
              <w:right w:w="15" w:type="dxa"/>
            </w:tcMar>
            <w:vAlign w:val="bottom"/>
            <w:hideMark/>
          </w:tcPr>
          <w:p w14:paraId="51127563" w14:textId="77777777" w:rsidR="0069677A" w:rsidRDefault="0069677A">
            <w:pPr>
              <w:spacing w:line="256" w:lineRule="auto"/>
              <w:jc w:val="right"/>
              <w:rPr>
                <w:b/>
                <w:sz w:val="22"/>
                <w:szCs w:val="22"/>
              </w:rPr>
            </w:pPr>
            <w:r>
              <w:rPr>
                <w:b/>
                <w:sz w:val="22"/>
                <w:szCs w:val="22"/>
              </w:rPr>
              <w:t>3,773</w:t>
            </w:r>
          </w:p>
        </w:tc>
        <w:tc>
          <w:tcPr>
            <w:tcW w:w="1104" w:type="dxa"/>
            <w:tcBorders>
              <w:top w:val="single" w:sz="4" w:space="0" w:color="auto"/>
              <w:left w:val="nil"/>
              <w:bottom w:val="nil"/>
              <w:right w:val="nil"/>
            </w:tcBorders>
            <w:noWrap/>
            <w:tcMar>
              <w:top w:w="15" w:type="dxa"/>
              <w:left w:w="15" w:type="dxa"/>
              <w:bottom w:w="0" w:type="dxa"/>
              <w:right w:w="15" w:type="dxa"/>
            </w:tcMar>
            <w:vAlign w:val="bottom"/>
            <w:hideMark/>
          </w:tcPr>
          <w:p w14:paraId="4C2E4063" w14:textId="77777777" w:rsidR="0069677A" w:rsidRDefault="0069677A">
            <w:pPr>
              <w:spacing w:line="256" w:lineRule="auto"/>
              <w:jc w:val="right"/>
              <w:rPr>
                <w:sz w:val="22"/>
                <w:szCs w:val="22"/>
              </w:rPr>
            </w:pPr>
            <w:r>
              <w:rPr>
                <w:sz w:val="22"/>
                <w:szCs w:val="22"/>
              </w:rPr>
              <w:t>4,240</w:t>
            </w:r>
          </w:p>
        </w:tc>
      </w:tr>
      <w:tr w:rsidR="0069677A" w14:paraId="2ACCAA34" w14:textId="77777777" w:rsidTr="0069677A">
        <w:trPr>
          <w:trHeight w:val="255"/>
        </w:trPr>
        <w:tc>
          <w:tcPr>
            <w:tcW w:w="5387" w:type="dxa"/>
            <w:noWrap/>
            <w:tcMar>
              <w:top w:w="15" w:type="dxa"/>
              <w:left w:w="15" w:type="dxa"/>
              <w:bottom w:w="0" w:type="dxa"/>
              <w:right w:w="15" w:type="dxa"/>
            </w:tcMar>
            <w:vAlign w:val="bottom"/>
          </w:tcPr>
          <w:p w14:paraId="4908FDE0" w14:textId="77777777" w:rsidR="0069677A" w:rsidRDefault="0069677A">
            <w:pPr>
              <w:spacing w:line="256" w:lineRule="auto"/>
              <w:rPr>
                <w:b/>
                <w:bCs/>
                <w:sz w:val="22"/>
                <w:szCs w:val="22"/>
              </w:rPr>
            </w:pPr>
          </w:p>
          <w:p w14:paraId="790049CC" w14:textId="77777777" w:rsidR="0069677A" w:rsidRDefault="0069677A">
            <w:pPr>
              <w:spacing w:line="256" w:lineRule="auto"/>
              <w:rPr>
                <w:b/>
                <w:bCs/>
                <w:sz w:val="22"/>
                <w:szCs w:val="22"/>
              </w:rPr>
            </w:pPr>
            <w:r>
              <w:rPr>
                <w:b/>
                <w:bCs/>
                <w:sz w:val="22"/>
                <w:szCs w:val="22"/>
              </w:rPr>
              <w:t>Changes in working capital and provisions:</w:t>
            </w:r>
          </w:p>
        </w:tc>
        <w:tc>
          <w:tcPr>
            <w:tcW w:w="992" w:type="dxa"/>
          </w:tcPr>
          <w:p w14:paraId="1B1C05A2" w14:textId="77777777" w:rsidR="0069677A" w:rsidRDefault="0069677A">
            <w:pPr>
              <w:spacing w:line="256" w:lineRule="auto"/>
              <w:rPr>
                <w:bCs/>
                <w:sz w:val="22"/>
                <w:szCs w:val="22"/>
              </w:rPr>
            </w:pPr>
          </w:p>
        </w:tc>
        <w:tc>
          <w:tcPr>
            <w:tcW w:w="1007" w:type="dxa"/>
            <w:noWrap/>
            <w:tcMar>
              <w:top w:w="15" w:type="dxa"/>
              <w:left w:w="15" w:type="dxa"/>
              <w:bottom w:w="0" w:type="dxa"/>
              <w:right w:w="15" w:type="dxa"/>
            </w:tcMar>
            <w:vAlign w:val="bottom"/>
          </w:tcPr>
          <w:p w14:paraId="1D10C855" w14:textId="77777777" w:rsidR="0069677A" w:rsidRDefault="0069677A">
            <w:pPr>
              <w:spacing w:line="256" w:lineRule="auto"/>
              <w:jc w:val="right"/>
              <w:rPr>
                <w:b/>
                <w:sz w:val="22"/>
                <w:szCs w:val="22"/>
              </w:rPr>
            </w:pPr>
          </w:p>
        </w:tc>
        <w:tc>
          <w:tcPr>
            <w:tcW w:w="1104" w:type="dxa"/>
            <w:noWrap/>
            <w:tcMar>
              <w:top w:w="15" w:type="dxa"/>
              <w:left w:w="15" w:type="dxa"/>
              <w:bottom w:w="0" w:type="dxa"/>
              <w:right w:w="15" w:type="dxa"/>
            </w:tcMar>
            <w:vAlign w:val="bottom"/>
          </w:tcPr>
          <w:p w14:paraId="27E22C5D" w14:textId="77777777" w:rsidR="0069677A" w:rsidRDefault="0069677A">
            <w:pPr>
              <w:spacing w:line="256" w:lineRule="auto"/>
              <w:jc w:val="right"/>
              <w:rPr>
                <w:sz w:val="22"/>
                <w:szCs w:val="22"/>
              </w:rPr>
            </w:pPr>
          </w:p>
        </w:tc>
      </w:tr>
      <w:tr w:rsidR="0069677A" w14:paraId="4E9CC25F" w14:textId="77777777" w:rsidTr="0069677A">
        <w:trPr>
          <w:trHeight w:val="255"/>
        </w:trPr>
        <w:tc>
          <w:tcPr>
            <w:tcW w:w="5387" w:type="dxa"/>
            <w:noWrap/>
            <w:tcMar>
              <w:top w:w="15" w:type="dxa"/>
              <w:left w:w="15" w:type="dxa"/>
              <w:bottom w:w="0" w:type="dxa"/>
              <w:right w:w="15" w:type="dxa"/>
            </w:tcMar>
            <w:vAlign w:val="bottom"/>
            <w:hideMark/>
          </w:tcPr>
          <w:p w14:paraId="08AA4C22" w14:textId="77777777" w:rsidR="0069677A" w:rsidRDefault="0069677A">
            <w:pPr>
              <w:spacing w:line="256" w:lineRule="auto"/>
              <w:rPr>
                <w:b/>
                <w:bCs/>
                <w:sz w:val="22"/>
                <w:szCs w:val="22"/>
              </w:rPr>
            </w:pPr>
            <w:r>
              <w:rPr>
                <w:sz w:val="22"/>
                <w:szCs w:val="22"/>
              </w:rPr>
              <w:t>Decrease/(Increase) in inventories</w:t>
            </w:r>
          </w:p>
        </w:tc>
        <w:tc>
          <w:tcPr>
            <w:tcW w:w="992" w:type="dxa"/>
          </w:tcPr>
          <w:p w14:paraId="08377385" w14:textId="77777777" w:rsidR="0069677A" w:rsidRDefault="0069677A">
            <w:pPr>
              <w:spacing w:line="256" w:lineRule="auto"/>
              <w:rPr>
                <w:bCs/>
                <w:sz w:val="22"/>
                <w:szCs w:val="22"/>
              </w:rPr>
            </w:pPr>
          </w:p>
        </w:tc>
        <w:tc>
          <w:tcPr>
            <w:tcW w:w="1007" w:type="dxa"/>
            <w:noWrap/>
            <w:tcMar>
              <w:top w:w="15" w:type="dxa"/>
              <w:left w:w="15" w:type="dxa"/>
              <w:bottom w:w="0" w:type="dxa"/>
              <w:right w:w="15" w:type="dxa"/>
            </w:tcMar>
            <w:vAlign w:val="bottom"/>
            <w:hideMark/>
          </w:tcPr>
          <w:p w14:paraId="52576D83" w14:textId="3CA4E5EA" w:rsidR="0069677A" w:rsidRDefault="00935C73">
            <w:pPr>
              <w:spacing w:line="256" w:lineRule="auto"/>
              <w:jc w:val="right"/>
              <w:rPr>
                <w:b/>
                <w:sz w:val="22"/>
                <w:szCs w:val="22"/>
              </w:rPr>
            </w:pPr>
            <w:r>
              <w:rPr>
                <w:b/>
                <w:sz w:val="22"/>
                <w:szCs w:val="22"/>
              </w:rPr>
              <w:t>1,047</w:t>
            </w:r>
          </w:p>
        </w:tc>
        <w:tc>
          <w:tcPr>
            <w:tcW w:w="1104" w:type="dxa"/>
            <w:noWrap/>
            <w:tcMar>
              <w:top w:w="15" w:type="dxa"/>
              <w:left w:w="15" w:type="dxa"/>
              <w:bottom w:w="0" w:type="dxa"/>
              <w:right w:w="15" w:type="dxa"/>
            </w:tcMar>
            <w:vAlign w:val="bottom"/>
            <w:hideMark/>
          </w:tcPr>
          <w:p w14:paraId="7F111D44" w14:textId="77777777" w:rsidR="0069677A" w:rsidRDefault="0069677A">
            <w:pPr>
              <w:spacing w:line="256" w:lineRule="auto"/>
              <w:jc w:val="right"/>
              <w:rPr>
                <w:sz w:val="22"/>
                <w:szCs w:val="22"/>
              </w:rPr>
            </w:pPr>
            <w:r>
              <w:rPr>
                <w:sz w:val="22"/>
                <w:szCs w:val="22"/>
              </w:rPr>
              <w:t>(481)</w:t>
            </w:r>
          </w:p>
        </w:tc>
      </w:tr>
      <w:tr w:rsidR="0069677A" w14:paraId="525ACCFF" w14:textId="77777777" w:rsidTr="0069677A">
        <w:trPr>
          <w:trHeight w:val="255"/>
        </w:trPr>
        <w:tc>
          <w:tcPr>
            <w:tcW w:w="5387" w:type="dxa"/>
            <w:noWrap/>
            <w:tcMar>
              <w:top w:w="15" w:type="dxa"/>
              <w:left w:w="15" w:type="dxa"/>
              <w:bottom w:w="0" w:type="dxa"/>
              <w:right w:w="15" w:type="dxa"/>
            </w:tcMar>
            <w:vAlign w:val="bottom"/>
            <w:hideMark/>
          </w:tcPr>
          <w:p w14:paraId="6ED99C56" w14:textId="77777777" w:rsidR="0069677A" w:rsidRDefault="0069677A">
            <w:pPr>
              <w:spacing w:line="256" w:lineRule="auto"/>
              <w:rPr>
                <w:sz w:val="22"/>
                <w:szCs w:val="22"/>
              </w:rPr>
            </w:pPr>
            <w:r>
              <w:rPr>
                <w:sz w:val="22"/>
                <w:szCs w:val="22"/>
              </w:rPr>
              <w:t xml:space="preserve">Increase in trade and other receivables </w:t>
            </w:r>
          </w:p>
        </w:tc>
        <w:tc>
          <w:tcPr>
            <w:tcW w:w="992" w:type="dxa"/>
          </w:tcPr>
          <w:p w14:paraId="2D4F89AD" w14:textId="77777777" w:rsidR="0069677A" w:rsidRDefault="0069677A">
            <w:pPr>
              <w:spacing w:line="256" w:lineRule="auto"/>
              <w:rPr>
                <w:bCs/>
                <w:sz w:val="22"/>
                <w:szCs w:val="22"/>
              </w:rPr>
            </w:pPr>
          </w:p>
        </w:tc>
        <w:tc>
          <w:tcPr>
            <w:tcW w:w="1007" w:type="dxa"/>
            <w:noWrap/>
            <w:tcMar>
              <w:top w:w="15" w:type="dxa"/>
              <w:left w:w="15" w:type="dxa"/>
              <w:bottom w:w="0" w:type="dxa"/>
              <w:right w:w="15" w:type="dxa"/>
            </w:tcMar>
            <w:vAlign w:val="bottom"/>
            <w:hideMark/>
          </w:tcPr>
          <w:p w14:paraId="5F618431" w14:textId="77777777" w:rsidR="0069677A" w:rsidRDefault="0069677A">
            <w:pPr>
              <w:spacing w:line="256" w:lineRule="auto"/>
              <w:jc w:val="right"/>
              <w:rPr>
                <w:b/>
                <w:sz w:val="22"/>
                <w:szCs w:val="22"/>
              </w:rPr>
            </w:pPr>
            <w:r>
              <w:rPr>
                <w:b/>
                <w:sz w:val="22"/>
                <w:szCs w:val="22"/>
              </w:rPr>
              <w:t>(669)</w:t>
            </w:r>
          </w:p>
        </w:tc>
        <w:tc>
          <w:tcPr>
            <w:tcW w:w="1104" w:type="dxa"/>
            <w:noWrap/>
            <w:tcMar>
              <w:top w:w="15" w:type="dxa"/>
              <w:left w:w="15" w:type="dxa"/>
              <w:bottom w:w="0" w:type="dxa"/>
              <w:right w:w="15" w:type="dxa"/>
            </w:tcMar>
            <w:vAlign w:val="bottom"/>
            <w:hideMark/>
          </w:tcPr>
          <w:p w14:paraId="3B193D8B" w14:textId="77777777" w:rsidR="0069677A" w:rsidRDefault="0069677A">
            <w:pPr>
              <w:spacing w:line="256" w:lineRule="auto"/>
              <w:jc w:val="right"/>
              <w:rPr>
                <w:sz w:val="22"/>
                <w:szCs w:val="22"/>
              </w:rPr>
            </w:pPr>
            <w:r>
              <w:rPr>
                <w:sz w:val="22"/>
                <w:szCs w:val="22"/>
              </w:rPr>
              <w:t>(607)</w:t>
            </w:r>
          </w:p>
        </w:tc>
      </w:tr>
      <w:tr w:rsidR="0069677A" w14:paraId="7EA7129D" w14:textId="77777777" w:rsidTr="0069677A">
        <w:trPr>
          <w:trHeight w:val="255"/>
        </w:trPr>
        <w:tc>
          <w:tcPr>
            <w:tcW w:w="5387" w:type="dxa"/>
            <w:noWrap/>
            <w:tcMar>
              <w:top w:w="15" w:type="dxa"/>
              <w:left w:w="15" w:type="dxa"/>
              <w:bottom w:w="0" w:type="dxa"/>
              <w:right w:w="15" w:type="dxa"/>
            </w:tcMar>
            <w:vAlign w:val="bottom"/>
            <w:hideMark/>
          </w:tcPr>
          <w:p w14:paraId="007721C4" w14:textId="77777777" w:rsidR="0069677A" w:rsidRDefault="0069677A">
            <w:pPr>
              <w:spacing w:line="256" w:lineRule="auto"/>
              <w:rPr>
                <w:sz w:val="22"/>
                <w:szCs w:val="22"/>
              </w:rPr>
            </w:pPr>
            <w:r>
              <w:rPr>
                <w:sz w:val="22"/>
                <w:szCs w:val="22"/>
              </w:rPr>
              <w:t>(Increase)/decrease in current assets held for sale</w:t>
            </w:r>
          </w:p>
        </w:tc>
        <w:tc>
          <w:tcPr>
            <w:tcW w:w="992" w:type="dxa"/>
          </w:tcPr>
          <w:p w14:paraId="7557087C" w14:textId="77777777" w:rsidR="0069677A" w:rsidRDefault="0069677A">
            <w:pPr>
              <w:spacing w:line="256" w:lineRule="auto"/>
              <w:rPr>
                <w:bCs/>
                <w:sz w:val="22"/>
                <w:szCs w:val="22"/>
              </w:rPr>
            </w:pPr>
          </w:p>
        </w:tc>
        <w:tc>
          <w:tcPr>
            <w:tcW w:w="1007" w:type="dxa"/>
            <w:noWrap/>
            <w:tcMar>
              <w:top w:w="15" w:type="dxa"/>
              <w:left w:w="15" w:type="dxa"/>
              <w:bottom w:w="0" w:type="dxa"/>
              <w:right w:w="15" w:type="dxa"/>
            </w:tcMar>
            <w:vAlign w:val="bottom"/>
            <w:hideMark/>
          </w:tcPr>
          <w:p w14:paraId="26ED644D" w14:textId="77777777" w:rsidR="0069677A" w:rsidRDefault="0069677A">
            <w:pPr>
              <w:spacing w:line="256" w:lineRule="auto"/>
              <w:jc w:val="right"/>
              <w:rPr>
                <w:b/>
                <w:sz w:val="22"/>
                <w:szCs w:val="22"/>
              </w:rPr>
            </w:pPr>
            <w:r>
              <w:rPr>
                <w:b/>
                <w:sz w:val="22"/>
                <w:szCs w:val="22"/>
              </w:rPr>
              <w:t>(104)</w:t>
            </w:r>
          </w:p>
        </w:tc>
        <w:tc>
          <w:tcPr>
            <w:tcW w:w="1104" w:type="dxa"/>
            <w:noWrap/>
            <w:tcMar>
              <w:top w:w="15" w:type="dxa"/>
              <w:left w:w="15" w:type="dxa"/>
              <w:bottom w:w="0" w:type="dxa"/>
              <w:right w:w="15" w:type="dxa"/>
            </w:tcMar>
            <w:vAlign w:val="bottom"/>
            <w:hideMark/>
          </w:tcPr>
          <w:p w14:paraId="7C2DA886" w14:textId="77777777" w:rsidR="0069677A" w:rsidRDefault="0069677A">
            <w:pPr>
              <w:spacing w:line="256" w:lineRule="auto"/>
              <w:jc w:val="right"/>
              <w:rPr>
                <w:sz w:val="22"/>
                <w:szCs w:val="22"/>
              </w:rPr>
            </w:pPr>
            <w:r>
              <w:rPr>
                <w:sz w:val="22"/>
                <w:szCs w:val="22"/>
              </w:rPr>
              <w:t>47</w:t>
            </w:r>
          </w:p>
        </w:tc>
      </w:tr>
      <w:tr w:rsidR="0069677A" w14:paraId="2CB7DAFE" w14:textId="77777777" w:rsidTr="0069677A">
        <w:trPr>
          <w:trHeight w:val="255"/>
        </w:trPr>
        <w:tc>
          <w:tcPr>
            <w:tcW w:w="5387" w:type="dxa"/>
            <w:noWrap/>
            <w:tcMar>
              <w:top w:w="15" w:type="dxa"/>
              <w:left w:w="15" w:type="dxa"/>
              <w:bottom w:w="0" w:type="dxa"/>
              <w:right w:w="15" w:type="dxa"/>
            </w:tcMar>
            <w:vAlign w:val="bottom"/>
            <w:hideMark/>
          </w:tcPr>
          <w:p w14:paraId="6A820DA3" w14:textId="77777777" w:rsidR="0069677A" w:rsidRDefault="0069677A">
            <w:pPr>
              <w:spacing w:line="256" w:lineRule="auto"/>
              <w:rPr>
                <w:sz w:val="22"/>
                <w:szCs w:val="22"/>
              </w:rPr>
            </w:pPr>
            <w:r>
              <w:rPr>
                <w:sz w:val="22"/>
                <w:szCs w:val="22"/>
              </w:rPr>
              <w:t>Decrease in current liabilities held for sale</w:t>
            </w:r>
          </w:p>
        </w:tc>
        <w:tc>
          <w:tcPr>
            <w:tcW w:w="992" w:type="dxa"/>
          </w:tcPr>
          <w:p w14:paraId="1A52291E" w14:textId="77777777" w:rsidR="0069677A" w:rsidRDefault="0069677A">
            <w:pPr>
              <w:spacing w:line="256" w:lineRule="auto"/>
              <w:rPr>
                <w:bCs/>
                <w:sz w:val="22"/>
                <w:szCs w:val="22"/>
              </w:rPr>
            </w:pPr>
          </w:p>
        </w:tc>
        <w:tc>
          <w:tcPr>
            <w:tcW w:w="1007" w:type="dxa"/>
            <w:noWrap/>
            <w:tcMar>
              <w:top w:w="15" w:type="dxa"/>
              <w:left w:w="15" w:type="dxa"/>
              <w:bottom w:w="0" w:type="dxa"/>
              <w:right w:w="15" w:type="dxa"/>
            </w:tcMar>
            <w:vAlign w:val="bottom"/>
            <w:hideMark/>
          </w:tcPr>
          <w:p w14:paraId="5D0023E3" w14:textId="77777777" w:rsidR="0069677A" w:rsidRDefault="0069677A">
            <w:pPr>
              <w:spacing w:line="256" w:lineRule="auto"/>
              <w:jc w:val="right"/>
              <w:rPr>
                <w:b/>
                <w:sz w:val="22"/>
                <w:szCs w:val="22"/>
              </w:rPr>
            </w:pPr>
            <w:r>
              <w:rPr>
                <w:b/>
                <w:sz w:val="22"/>
                <w:szCs w:val="22"/>
              </w:rPr>
              <w:t>-</w:t>
            </w:r>
          </w:p>
        </w:tc>
        <w:tc>
          <w:tcPr>
            <w:tcW w:w="1104" w:type="dxa"/>
            <w:noWrap/>
            <w:tcMar>
              <w:top w:w="15" w:type="dxa"/>
              <w:left w:w="15" w:type="dxa"/>
              <w:bottom w:w="0" w:type="dxa"/>
              <w:right w:w="15" w:type="dxa"/>
            </w:tcMar>
            <w:vAlign w:val="bottom"/>
            <w:hideMark/>
          </w:tcPr>
          <w:p w14:paraId="696D99F2" w14:textId="77777777" w:rsidR="0069677A" w:rsidRDefault="0069677A">
            <w:pPr>
              <w:spacing w:line="256" w:lineRule="auto"/>
              <w:jc w:val="right"/>
              <w:rPr>
                <w:sz w:val="22"/>
                <w:szCs w:val="22"/>
              </w:rPr>
            </w:pPr>
            <w:r>
              <w:rPr>
                <w:sz w:val="22"/>
                <w:szCs w:val="22"/>
              </w:rPr>
              <w:t>(15)</w:t>
            </w:r>
          </w:p>
        </w:tc>
      </w:tr>
      <w:tr w:rsidR="0069677A" w14:paraId="09628671" w14:textId="77777777" w:rsidTr="0069677A">
        <w:trPr>
          <w:trHeight w:val="255"/>
        </w:trPr>
        <w:tc>
          <w:tcPr>
            <w:tcW w:w="5387" w:type="dxa"/>
            <w:noWrap/>
            <w:tcMar>
              <w:top w:w="15" w:type="dxa"/>
              <w:left w:w="15" w:type="dxa"/>
              <w:bottom w:w="0" w:type="dxa"/>
              <w:right w:w="15" w:type="dxa"/>
            </w:tcMar>
            <w:vAlign w:val="bottom"/>
            <w:hideMark/>
          </w:tcPr>
          <w:p w14:paraId="24590257" w14:textId="77777777" w:rsidR="0069677A" w:rsidRDefault="0069677A">
            <w:pPr>
              <w:spacing w:line="256" w:lineRule="auto"/>
              <w:rPr>
                <w:sz w:val="22"/>
                <w:szCs w:val="22"/>
              </w:rPr>
            </w:pPr>
            <w:r>
              <w:rPr>
                <w:sz w:val="22"/>
                <w:szCs w:val="22"/>
              </w:rPr>
              <w:t>(Decrease)/Increase in payables</w:t>
            </w:r>
          </w:p>
        </w:tc>
        <w:tc>
          <w:tcPr>
            <w:tcW w:w="992" w:type="dxa"/>
          </w:tcPr>
          <w:p w14:paraId="05BB82B3" w14:textId="77777777" w:rsidR="0069677A" w:rsidRDefault="0069677A">
            <w:pPr>
              <w:spacing w:line="256" w:lineRule="auto"/>
              <w:rPr>
                <w:bCs/>
                <w:sz w:val="22"/>
                <w:szCs w:val="22"/>
              </w:rPr>
            </w:pPr>
          </w:p>
        </w:tc>
        <w:tc>
          <w:tcPr>
            <w:tcW w:w="1007" w:type="dxa"/>
            <w:noWrap/>
            <w:tcMar>
              <w:top w:w="15" w:type="dxa"/>
              <w:left w:w="15" w:type="dxa"/>
              <w:bottom w:w="0" w:type="dxa"/>
              <w:right w:w="15" w:type="dxa"/>
            </w:tcMar>
            <w:vAlign w:val="bottom"/>
            <w:hideMark/>
          </w:tcPr>
          <w:p w14:paraId="0591BE42" w14:textId="77777777" w:rsidR="0069677A" w:rsidRDefault="0069677A">
            <w:pPr>
              <w:spacing w:line="256" w:lineRule="auto"/>
              <w:jc w:val="right"/>
              <w:rPr>
                <w:b/>
                <w:sz w:val="22"/>
                <w:szCs w:val="22"/>
              </w:rPr>
            </w:pPr>
            <w:r>
              <w:rPr>
                <w:b/>
                <w:sz w:val="22"/>
                <w:szCs w:val="22"/>
              </w:rPr>
              <w:t>(276)</w:t>
            </w:r>
          </w:p>
        </w:tc>
        <w:tc>
          <w:tcPr>
            <w:tcW w:w="1104" w:type="dxa"/>
            <w:noWrap/>
            <w:tcMar>
              <w:top w:w="15" w:type="dxa"/>
              <w:left w:w="15" w:type="dxa"/>
              <w:bottom w:w="0" w:type="dxa"/>
              <w:right w:w="15" w:type="dxa"/>
            </w:tcMar>
            <w:vAlign w:val="bottom"/>
            <w:hideMark/>
          </w:tcPr>
          <w:p w14:paraId="433CAA6A" w14:textId="77777777" w:rsidR="0069677A" w:rsidRDefault="0069677A">
            <w:pPr>
              <w:spacing w:line="256" w:lineRule="auto"/>
              <w:jc w:val="right"/>
              <w:rPr>
                <w:sz w:val="22"/>
                <w:szCs w:val="22"/>
              </w:rPr>
            </w:pPr>
            <w:r>
              <w:rPr>
                <w:sz w:val="22"/>
                <w:szCs w:val="22"/>
              </w:rPr>
              <w:t>1,118</w:t>
            </w:r>
          </w:p>
        </w:tc>
      </w:tr>
      <w:tr w:rsidR="0069677A" w14:paraId="66F6834B" w14:textId="77777777" w:rsidTr="0069677A">
        <w:trPr>
          <w:trHeight w:val="255"/>
        </w:trPr>
        <w:tc>
          <w:tcPr>
            <w:tcW w:w="5387" w:type="dxa"/>
            <w:noWrap/>
            <w:tcMar>
              <w:top w:w="15" w:type="dxa"/>
              <w:left w:w="15" w:type="dxa"/>
              <w:bottom w:w="0" w:type="dxa"/>
              <w:right w:w="15" w:type="dxa"/>
            </w:tcMar>
            <w:vAlign w:val="bottom"/>
            <w:hideMark/>
          </w:tcPr>
          <w:p w14:paraId="23CC600A" w14:textId="77777777" w:rsidR="0069677A" w:rsidRDefault="0069677A">
            <w:pPr>
              <w:spacing w:line="256" w:lineRule="auto"/>
              <w:rPr>
                <w:sz w:val="22"/>
                <w:szCs w:val="22"/>
              </w:rPr>
            </w:pPr>
            <w:r>
              <w:rPr>
                <w:b/>
                <w:bCs/>
                <w:sz w:val="22"/>
                <w:szCs w:val="22"/>
              </w:rPr>
              <w:t>Net cash inflow from operations</w:t>
            </w:r>
          </w:p>
        </w:tc>
        <w:tc>
          <w:tcPr>
            <w:tcW w:w="992" w:type="dxa"/>
          </w:tcPr>
          <w:p w14:paraId="728D21F1" w14:textId="77777777" w:rsidR="0069677A" w:rsidRDefault="0069677A">
            <w:pPr>
              <w:spacing w:line="256" w:lineRule="auto"/>
              <w:rPr>
                <w:bCs/>
                <w:sz w:val="22"/>
                <w:szCs w:val="22"/>
              </w:rPr>
            </w:pPr>
          </w:p>
        </w:tc>
        <w:tc>
          <w:tcPr>
            <w:tcW w:w="1007" w:type="dxa"/>
            <w:tcBorders>
              <w:top w:val="single" w:sz="4" w:space="0" w:color="auto"/>
              <w:left w:val="nil"/>
              <w:bottom w:val="nil"/>
              <w:right w:val="nil"/>
            </w:tcBorders>
            <w:noWrap/>
            <w:tcMar>
              <w:top w:w="15" w:type="dxa"/>
              <w:left w:w="15" w:type="dxa"/>
              <w:bottom w:w="0" w:type="dxa"/>
              <w:right w:w="15" w:type="dxa"/>
            </w:tcMar>
            <w:vAlign w:val="bottom"/>
            <w:hideMark/>
          </w:tcPr>
          <w:p w14:paraId="2B5C113D" w14:textId="696524BC" w:rsidR="0069677A" w:rsidRDefault="0069677A">
            <w:pPr>
              <w:spacing w:line="256" w:lineRule="auto"/>
              <w:jc w:val="right"/>
              <w:rPr>
                <w:b/>
                <w:sz w:val="22"/>
                <w:szCs w:val="22"/>
              </w:rPr>
            </w:pPr>
            <w:r>
              <w:rPr>
                <w:b/>
                <w:sz w:val="22"/>
                <w:szCs w:val="22"/>
              </w:rPr>
              <w:t>3,</w:t>
            </w:r>
            <w:r w:rsidR="00935C73">
              <w:rPr>
                <w:b/>
                <w:sz w:val="22"/>
                <w:szCs w:val="22"/>
              </w:rPr>
              <w:t>771</w:t>
            </w:r>
          </w:p>
        </w:tc>
        <w:tc>
          <w:tcPr>
            <w:tcW w:w="1104" w:type="dxa"/>
            <w:tcBorders>
              <w:top w:val="single" w:sz="4" w:space="0" w:color="auto"/>
              <w:left w:val="nil"/>
              <w:bottom w:val="nil"/>
              <w:right w:val="nil"/>
            </w:tcBorders>
            <w:noWrap/>
            <w:tcMar>
              <w:top w:w="15" w:type="dxa"/>
              <w:left w:w="15" w:type="dxa"/>
              <w:bottom w:w="0" w:type="dxa"/>
              <w:right w:w="15" w:type="dxa"/>
            </w:tcMar>
            <w:vAlign w:val="bottom"/>
            <w:hideMark/>
          </w:tcPr>
          <w:p w14:paraId="060E2037" w14:textId="77777777" w:rsidR="0069677A" w:rsidRDefault="0069677A">
            <w:pPr>
              <w:spacing w:line="256" w:lineRule="auto"/>
              <w:jc w:val="right"/>
              <w:rPr>
                <w:sz w:val="22"/>
                <w:szCs w:val="22"/>
              </w:rPr>
            </w:pPr>
            <w:r>
              <w:rPr>
                <w:sz w:val="22"/>
                <w:szCs w:val="22"/>
              </w:rPr>
              <w:t>4,302</w:t>
            </w:r>
          </w:p>
        </w:tc>
      </w:tr>
      <w:tr w:rsidR="0069677A" w14:paraId="61792501" w14:textId="77777777" w:rsidTr="0069677A">
        <w:trPr>
          <w:trHeight w:val="255"/>
        </w:trPr>
        <w:tc>
          <w:tcPr>
            <w:tcW w:w="5387" w:type="dxa"/>
            <w:noWrap/>
            <w:tcMar>
              <w:top w:w="15" w:type="dxa"/>
              <w:left w:w="15" w:type="dxa"/>
              <w:bottom w:w="0" w:type="dxa"/>
              <w:right w:w="15" w:type="dxa"/>
            </w:tcMar>
            <w:vAlign w:val="bottom"/>
          </w:tcPr>
          <w:p w14:paraId="1A17BF9F" w14:textId="77777777" w:rsidR="0069677A" w:rsidRDefault="0069677A">
            <w:pPr>
              <w:spacing w:line="256" w:lineRule="auto"/>
              <w:rPr>
                <w:b/>
                <w:bCs/>
                <w:sz w:val="22"/>
                <w:szCs w:val="22"/>
              </w:rPr>
            </w:pPr>
          </w:p>
        </w:tc>
        <w:tc>
          <w:tcPr>
            <w:tcW w:w="992" w:type="dxa"/>
          </w:tcPr>
          <w:p w14:paraId="1C1EF567" w14:textId="77777777" w:rsidR="0069677A" w:rsidRDefault="0069677A">
            <w:pPr>
              <w:spacing w:line="256" w:lineRule="auto"/>
              <w:rPr>
                <w:bCs/>
                <w:sz w:val="22"/>
                <w:szCs w:val="22"/>
              </w:rPr>
            </w:pPr>
          </w:p>
        </w:tc>
        <w:tc>
          <w:tcPr>
            <w:tcW w:w="1007" w:type="dxa"/>
            <w:noWrap/>
            <w:tcMar>
              <w:top w:w="15" w:type="dxa"/>
              <w:left w:w="15" w:type="dxa"/>
              <w:bottom w:w="0" w:type="dxa"/>
              <w:right w:w="15" w:type="dxa"/>
            </w:tcMar>
            <w:vAlign w:val="bottom"/>
          </w:tcPr>
          <w:p w14:paraId="6AB9448F" w14:textId="77777777" w:rsidR="0069677A" w:rsidRDefault="0069677A">
            <w:pPr>
              <w:spacing w:line="256" w:lineRule="auto"/>
              <w:rPr>
                <w:b/>
                <w:sz w:val="22"/>
                <w:szCs w:val="22"/>
              </w:rPr>
            </w:pPr>
          </w:p>
        </w:tc>
        <w:tc>
          <w:tcPr>
            <w:tcW w:w="1104" w:type="dxa"/>
            <w:noWrap/>
            <w:tcMar>
              <w:top w:w="15" w:type="dxa"/>
              <w:left w:w="15" w:type="dxa"/>
              <w:bottom w:w="0" w:type="dxa"/>
              <w:right w:w="15" w:type="dxa"/>
            </w:tcMar>
            <w:vAlign w:val="bottom"/>
          </w:tcPr>
          <w:p w14:paraId="6088217A" w14:textId="77777777" w:rsidR="0069677A" w:rsidRDefault="0069677A">
            <w:pPr>
              <w:spacing w:line="256" w:lineRule="auto"/>
              <w:rPr>
                <w:sz w:val="22"/>
                <w:szCs w:val="22"/>
              </w:rPr>
            </w:pPr>
          </w:p>
        </w:tc>
      </w:tr>
      <w:tr w:rsidR="0069677A" w14:paraId="21AF9681" w14:textId="77777777" w:rsidTr="0069677A">
        <w:trPr>
          <w:trHeight w:val="255"/>
        </w:trPr>
        <w:tc>
          <w:tcPr>
            <w:tcW w:w="5387" w:type="dxa"/>
            <w:noWrap/>
            <w:tcMar>
              <w:top w:w="15" w:type="dxa"/>
              <w:left w:w="15" w:type="dxa"/>
              <w:bottom w:w="0" w:type="dxa"/>
              <w:right w:w="15" w:type="dxa"/>
            </w:tcMar>
            <w:vAlign w:val="bottom"/>
            <w:hideMark/>
          </w:tcPr>
          <w:p w14:paraId="7F8D6F7A" w14:textId="77777777" w:rsidR="0069677A" w:rsidRDefault="0069677A">
            <w:pPr>
              <w:spacing w:line="256" w:lineRule="auto"/>
              <w:rPr>
                <w:sz w:val="22"/>
                <w:szCs w:val="22"/>
              </w:rPr>
            </w:pPr>
            <w:r>
              <w:rPr>
                <w:sz w:val="22"/>
                <w:szCs w:val="22"/>
              </w:rPr>
              <w:t xml:space="preserve">Interest paid </w:t>
            </w:r>
          </w:p>
        </w:tc>
        <w:tc>
          <w:tcPr>
            <w:tcW w:w="992" w:type="dxa"/>
          </w:tcPr>
          <w:p w14:paraId="6FFA8C89" w14:textId="77777777" w:rsidR="0069677A" w:rsidRDefault="0069677A">
            <w:pPr>
              <w:spacing w:line="256" w:lineRule="auto"/>
              <w:rPr>
                <w:bCs/>
                <w:sz w:val="22"/>
                <w:szCs w:val="22"/>
              </w:rPr>
            </w:pPr>
          </w:p>
        </w:tc>
        <w:tc>
          <w:tcPr>
            <w:tcW w:w="1007" w:type="dxa"/>
            <w:noWrap/>
            <w:tcMar>
              <w:top w:w="15" w:type="dxa"/>
              <w:left w:w="15" w:type="dxa"/>
              <w:bottom w:w="0" w:type="dxa"/>
              <w:right w:w="15" w:type="dxa"/>
            </w:tcMar>
            <w:vAlign w:val="bottom"/>
            <w:hideMark/>
          </w:tcPr>
          <w:p w14:paraId="79EE4F4A" w14:textId="77777777" w:rsidR="0069677A" w:rsidRDefault="0069677A">
            <w:pPr>
              <w:spacing w:line="256" w:lineRule="auto"/>
              <w:jc w:val="right"/>
              <w:rPr>
                <w:b/>
                <w:sz w:val="22"/>
                <w:szCs w:val="22"/>
              </w:rPr>
            </w:pPr>
            <w:r>
              <w:rPr>
                <w:b/>
                <w:sz w:val="22"/>
                <w:szCs w:val="22"/>
              </w:rPr>
              <w:t>(316)</w:t>
            </w:r>
          </w:p>
        </w:tc>
        <w:tc>
          <w:tcPr>
            <w:tcW w:w="1104" w:type="dxa"/>
            <w:noWrap/>
            <w:tcMar>
              <w:top w:w="15" w:type="dxa"/>
              <w:left w:w="15" w:type="dxa"/>
              <w:bottom w:w="0" w:type="dxa"/>
              <w:right w:w="15" w:type="dxa"/>
            </w:tcMar>
            <w:vAlign w:val="bottom"/>
            <w:hideMark/>
          </w:tcPr>
          <w:p w14:paraId="4664BCE6" w14:textId="77777777" w:rsidR="0069677A" w:rsidRDefault="0069677A">
            <w:pPr>
              <w:spacing w:line="256" w:lineRule="auto"/>
              <w:jc w:val="right"/>
              <w:rPr>
                <w:sz w:val="22"/>
                <w:szCs w:val="22"/>
              </w:rPr>
            </w:pPr>
            <w:r>
              <w:rPr>
                <w:sz w:val="22"/>
                <w:szCs w:val="22"/>
              </w:rPr>
              <w:t>(349)</w:t>
            </w:r>
          </w:p>
        </w:tc>
      </w:tr>
      <w:tr w:rsidR="0069677A" w14:paraId="1F6CCC31" w14:textId="77777777" w:rsidTr="0069677A">
        <w:trPr>
          <w:trHeight w:val="255"/>
        </w:trPr>
        <w:tc>
          <w:tcPr>
            <w:tcW w:w="5387" w:type="dxa"/>
            <w:noWrap/>
            <w:tcMar>
              <w:top w:w="15" w:type="dxa"/>
              <w:left w:w="15" w:type="dxa"/>
              <w:bottom w:w="0" w:type="dxa"/>
              <w:right w:w="15" w:type="dxa"/>
            </w:tcMar>
            <w:vAlign w:val="bottom"/>
            <w:hideMark/>
          </w:tcPr>
          <w:p w14:paraId="682D8942" w14:textId="77777777" w:rsidR="0069677A" w:rsidRDefault="0069677A">
            <w:pPr>
              <w:spacing w:line="256" w:lineRule="auto"/>
              <w:rPr>
                <w:sz w:val="22"/>
                <w:szCs w:val="22"/>
              </w:rPr>
            </w:pPr>
            <w:r>
              <w:rPr>
                <w:sz w:val="22"/>
                <w:szCs w:val="22"/>
              </w:rPr>
              <w:t>Interest received</w:t>
            </w:r>
          </w:p>
        </w:tc>
        <w:tc>
          <w:tcPr>
            <w:tcW w:w="992" w:type="dxa"/>
          </w:tcPr>
          <w:p w14:paraId="35F7A43C" w14:textId="77777777" w:rsidR="0069677A" w:rsidRDefault="0069677A">
            <w:pPr>
              <w:spacing w:line="256" w:lineRule="auto"/>
              <w:rPr>
                <w:bCs/>
                <w:sz w:val="22"/>
                <w:szCs w:val="22"/>
              </w:rPr>
            </w:pPr>
          </w:p>
        </w:tc>
        <w:tc>
          <w:tcPr>
            <w:tcW w:w="1007" w:type="dxa"/>
            <w:noWrap/>
            <w:tcMar>
              <w:top w:w="15" w:type="dxa"/>
              <w:left w:w="15" w:type="dxa"/>
              <w:bottom w:w="0" w:type="dxa"/>
              <w:right w:w="15" w:type="dxa"/>
            </w:tcMar>
            <w:vAlign w:val="bottom"/>
            <w:hideMark/>
          </w:tcPr>
          <w:p w14:paraId="786463EA" w14:textId="77777777" w:rsidR="0069677A" w:rsidRDefault="0069677A">
            <w:pPr>
              <w:spacing w:line="256" w:lineRule="auto"/>
              <w:jc w:val="right"/>
              <w:rPr>
                <w:b/>
                <w:sz w:val="22"/>
                <w:szCs w:val="22"/>
              </w:rPr>
            </w:pPr>
            <w:r>
              <w:rPr>
                <w:b/>
                <w:sz w:val="22"/>
                <w:szCs w:val="22"/>
              </w:rPr>
              <w:t>1</w:t>
            </w:r>
          </w:p>
        </w:tc>
        <w:tc>
          <w:tcPr>
            <w:tcW w:w="1104" w:type="dxa"/>
            <w:noWrap/>
            <w:tcMar>
              <w:top w:w="15" w:type="dxa"/>
              <w:left w:w="15" w:type="dxa"/>
              <w:bottom w:w="0" w:type="dxa"/>
              <w:right w:w="15" w:type="dxa"/>
            </w:tcMar>
            <w:vAlign w:val="bottom"/>
            <w:hideMark/>
          </w:tcPr>
          <w:p w14:paraId="3E5A0B35" w14:textId="77777777" w:rsidR="0069677A" w:rsidRDefault="0069677A">
            <w:pPr>
              <w:spacing w:line="256" w:lineRule="auto"/>
              <w:jc w:val="right"/>
              <w:rPr>
                <w:sz w:val="22"/>
                <w:szCs w:val="22"/>
              </w:rPr>
            </w:pPr>
            <w:r>
              <w:rPr>
                <w:sz w:val="22"/>
                <w:szCs w:val="22"/>
              </w:rPr>
              <w:t>1</w:t>
            </w:r>
          </w:p>
        </w:tc>
      </w:tr>
      <w:tr w:rsidR="0069677A" w14:paraId="38FBFEAE" w14:textId="77777777" w:rsidTr="0069677A">
        <w:trPr>
          <w:trHeight w:val="255"/>
        </w:trPr>
        <w:tc>
          <w:tcPr>
            <w:tcW w:w="5387" w:type="dxa"/>
            <w:noWrap/>
            <w:tcMar>
              <w:top w:w="15" w:type="dxa"/>
              <w:left w:w="15" w:type="dxa"/>
              <w:bottom w:w="0" w:type="dxa"/>
              <w:right w:w="15" w:type="dxa"/>
            </w:tcMar>
            <w:vAlign w:val="bottom"/>
            <w:hideMark/>
          </w:tcPr>
          <w:p w14:paraId="2BE248C5" w14:textId="77777777" w:rsidR="0069677A" w:rsidRDefault="0069677A">
            <w:pPr>
              <w:spacing w:line="256" w:lineRule="auto"/>
              <w:rPr>
                <w:sz w:val="22"/>
                <w:szCs w:val="22"/>
              </w:rPr>
            </w:pPr>
            <w:r>
              <w:rPr>
                <w:sz w:val="22"/>
                <w:szCs w:val="22"/>
              </w:rPr>
              <w:t xml:space="preserve">Taxation paid </w:t>
            </w:r>
          </w:p>
        </w:tc>
        <w:tc>
          <w:tcPr>
            <w:tcW w:w="992" w:type="dxa"/>
          </w:tcPr>
          <w:p w14:paraId="230E86A9" w14:textId="77777777" w:rsidR="0069677A" w:rsidRDefault="0069677A">
            <w:pPr>
              <w:spacing w:line="256" w:lineRule="auto"/>
              <w:rPr>
                <w:bCs/>
                <w:sz w:val="22"/>
                <w:szCs w:val="22"/>
              </w:rPr>
            </w:pPr>
          </w:p>
        </w:tc>
        <w:tc>
          <w:tcPr>
            <w:tcW w:w="1007" w:type="dxa"/>
            <w:tcBorders>
              <w:top w:val="nil"/>
              <w:left w:val="nil"/>
              <w:bottom w:val="single" w:sz="4" w:space="0" w:color="auto"/>
              <w:right w:val="nil"/>
            </w:tcBorders>
            <w:noWrap/>
            <w:tcMar>
              <w:top w:w="15" w:type="dxa"/>
              <w:left w:w="15" w:type="dxa"/>
              <w:bottom w:w="0" w:type="dxa"/>
              <w:right w:w="15" w:type="dxa"/>
            </w:tcMar>
            <w:vAlign w:val="bottom"/>
            <w:hideMark/>
          </w:tcPr>
          <w:p w14:paraId="7F50B3BE" w14:textId="77777777" w:rsidR="0069677A" w:rsidRDefault="0069677A">
            <w:pPr>
              <w:spacing w:line="256" w:lineRule="auto"/>
              <w:jc w:val="right"/>
              <w:rPr>
                <w:b/>
                <w:sz w:val="22"/>
                <w:szCs w:val="22"/>
              </w:rPr>
            </w:pPr>
            <w:r>
              <w:rPr>
                <w:b/>
                <w:sz w:val="22"/>
                <w:szCs w:val="22"/>
              </w:rPr>
              <w:t>(304)</w:t>
            </w:r>
          </w:p>
        </w:tc>
        <w:tc>
          <w:tcPr>
            <w:tcW w:w="1104" w:type="dxa"/>
            <w:tcBorders>
              <w:top w:val="nil"/>
              <w:left w:val="nil"/>
              <w:bottom w:val="single" w:sz="4" w:space="0" w:color="auto"/>
              <w:right w:val="nil"/>
            </w:tcBorders>
            <w:noWrap/>
            <w:tcMar>
              <w:top w:w="15" w:type="dxa"/>
              <w:left w:w="15" w:type="dxa"/>
              <w:bottom w:w="0" w:type="dxa"/>
              <w:right w:w="15" w:type="dxa"/>
            </w:tcMar>
            <w:vAlign w:val="bottom"/>
            <w:hideMark/>
          </w:tcPr>
          <w:p w14:paraId="560C829F" w14:textId="77777777" w:rsidR="0069677A" w:rsidRDefault="0069677A">
            <w:pPr>
              <w:spacing w:line="256" w:lineRule="auto"/>
              <w:jc w:val="right"/>
              <w:rPr>
                <w:sz w:val="22"/>
                <w:szCs w:val="22"/>
              </w:rPr>
            </w:pPr>
            <w:r>
              <w:rPr>
                <w:sz w:val="22"/>
                <w:szCs w:val="22"/>
              </w:rPr>
              <w:t>(406)</w:t>
            </w:r>
          </w:p>
        </w:tc>
      </w:tr>
      <w:tr w:rsidR="0069677A" w14:paraId="3C5AF5C2" w14:textId="77777777" w:rsidTr="0069677A">
        <w:trPr>
          <w:trHeight w:val="255"/>
        </w:trPr>
        <w:tc>
          <w:tcPr>
            <w:tcW w:w="5387" w:type="dxa"/>
            <w:noWrap/>
            <w:tcMar>
              <w:top w:w="15" w:type="dxa"/>
              <w:left w:w="15" w:type="dxa"/>
              <w:bottom w:w="0" w:type="dxa"/>
              <w:right w:w="15" w:type="dxa"/>
            </w:tcMar>
            <w:vAlign w:val="bottom"/>
            <w:hideMark/>
          </w:tcPr>
          <w:p w14:paraId="366628C9" w14:textId="77777777" w:rsidR="0069677A" w:rsidRDefault="0069677A">
            <w:pPr>
              <w:spacing w:line="256" w:lineRule="auto"/>
              <w:rPr>
                <w:b/>
                <w:bCs/>
                <w:sz w:val="22"/>
                <w:szCs w:val="22"/>
              </w:rPr>
            </w:pPr>
            <w:r>
              <w:rPr>
                <w:b/>
                <w:bCs/>
                <w:sz w:val="22"/>
                <w:szCs w:val="22"/>
              </w:rPr>
              <w:t>Net cash generated from operating activities</w:t>
            </w:r>
          </w:p>
        </w:tc>
        <w:tc>
          <w:tcPr>
            <w:tcW w:w="992" w:type="dxa"/>
          </w:tcPr>
          <w:p w14:paraId="08377D1E" w14:textId="77777777" w:rsidR="0069677A" w:rsidRDefault="0069677A">
            <w:pPr>
              <w:spacing w:line="256" w:lineRule="auto"/>
              <w:rPr>
                <w:bCs/>
                <w:sz w:val="22"/>
                <w:szCs w:val="22"/>
              </w:rPr>
            </w:pPr>
          </w:p>
        </w:tc>
        <w:tc>
          <w:tcPr>
            <w:tcW w:w="1007"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14:paraId="53C7900F" w14:textId="186060E8" w:rsidR="0069677A" w:rsidRDefault="0069677A">
            <w:pPr>
              <w:spacing w:line="256" w:lineRule="auto"/>
              <w:jc w:val="right"/>
              <w:rPr>
                <w:b/>
                <w:sz w:val="22"/>
                <w:szCs w:val="22"/>
              </w:rPr>
            </w:pPr>
            <w:r>
              <w:rPr>
                <w:b/>
                <w:sz w:val="22"/>
                <w:szCs w:val="22"/>
              </w:rPr>
              <w:t>3,</w:t>
            </w:r>
            <w:r w:rsidR="00935C73">
              <w:rPr>
                <w:b/>
                <w:sz w:val="22"/>
                <w:szCs w:val="22"/>
              </w:rPr>
              <w:t>152</w:t>
            </w:r>
          </w:p>
        </w:tc>
        <w:tc>
          <w:tcPr>
            <w:tcW w:w="1104"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14:paraId="29EE7714" w14:textId="77777777" w:rsidR="0069677A" w:rsidRDefault="0069677A">
            <w:pPr>
              <w:spacing w:line="256" w:lineRule="auto"/>
              <w:jc w:val="right"/>
              <w:rPr>
                <w:sz w:val="22"/>
                <w:szCs w:val="22"/>
              </w:rPr>
            </w:pPr>
            <w:r>
              <w:rPr>
                <w:sz w:val="22"/>
                <w:szCs w:val="22"/>
              </w:rPr>
              <w:t>3,548</w:t>
            </w:r>
          </w:p>
        </w:tc>
      </w:tr>
      <w:tr w:rsidR="0069677A" w14:paraId="4F40F054" w14:textId="77777777" w:rsidTr="0069677A">
        <w:trPr>
          <w:trHeight w:val="255"/>
        </w:trPr>
        <w:tc>
          <w:tcPr>
            <w:tcW w:w="5387" w:type="dxa"/>
            <w:noWrap/>
            <w:tcMar>
              <w:top w:w="15" w:type="dxa"/>
              <w:left w:w="15" w:type="dxa"/>
              <w:bottom w:w="0" w:type="dxa"/>
              <w:right w:w="15" w:type="dxa"/>
            </w:tcMar>
            <w:vAlign w:val="bottom"/>
          </w:tcPr>
          <w:p w14:paraId="0892F5DC" w14:textId="77777777" w:rsidR="0069677A" w:rsidRDefault="0069677A">
            <w:pPr>
              <w:spacing w:line="256" w:lineRule="auto"/>
              <w:rPr>
                <w:b/>
                <w:sz w:val="22"/>
                <w:szCs w:val="22"/>
              </w:rPr>
            </w:pPr>
          </w:p>
          <w:p w14:paraId="08EEBF5C" w14:textId="77777777" w:rsidR="0069677A" w:rsidRDefault="0069677A">
            <w:pPr>
              <w:spacing w:line="256" w:lineRule="auto"/>
              <w:rPr>
                <w:sz w:val="22"/>
                <w:szCs w:val="22"/>
              </w:rPr>
            </w:pPr>
            <w:r>
              <w:rPr>
                <w:b/>
                <w:sz w:val="22"/>
                <w:szCs w:val="22"/>
              </w:rPr>
              <w:t>Cash flow from investing activities</w:t>
            </w:r>
          </w:p>
        </w:tc>
        <w:tc>
          <w:tcPr>
            <w:tcW w:w="992" w:type="dxa"/>
          </w:tcPr>
          <w:p w14:paraId="4A2FD602" w14:textId="77777777" w:rsidR="0069677A" w:rsidRDefault="0069677A">
            <w:pPr>
              <w:spacing w:line="256" w:lineRule="auto"/>
              <w:rPr>
                <w:bCs/>
                <w:sz w:val="22"/>
                <w:szCs w:val="22"/>
              </w:rPr>
            </w:pPr>
          </w:p>
        </w:tc>
        <w:tc>
          <w:tcPr>
            <w:tcW w:w="1007" w:type="dxa"/>
            <w:noWrap/>
            <w:tcMar>
              <w:top w:w="15" w:type="dxa"/>
              <w:left w:w="15" w:type="dxa"/>
              <w:bottom w:w="0" w:type="dxa"/>
              <w:right w:w="15" w:type="dxa"/>
            </w:tcMar>
            <w:vAlign w:val="bottom"/>
          </w:tcPr>
          <w:p w14:paraId="2831DD4D" w14:textId="77777777" w:rsidR="0069677A" w:rsidRDefault="0069677A">
            <w:pPr>
              <w:spacing w:line="256" w:lineRule="auto"/>
              <w:jc w:val="right"/>
              <w:rPr>
                <w:b/>
                <w:sz w:val="22"/>
                <w:szCs w:val="22"/>
              </w:rPr>
            </w:pPr>
          </w:p>
        </w:tc>
        <w:tc>
          <w:tcPr>
            <w:tcW w:w="1104" w:type="dxa"/>
            <w:noWrap/>
            <w:tcMar>
              <w:top w:w="15" w:type="dxa"/>
              <w:left w:w="15" w:type="dxa"/>
              <w:bottom w:w="0" w:type="dxa"/>
              <w:right w:w="15" w:type="dxa"/>
            </w:tcMar>
            <w:vAlign w:val="bottom"/>
          </w:tcPr>
          <w:p w14:paraId="1C038CE5" w14:textId="77777777" w:rsidR="0069677A" w:rsidRDefault="0069677A">
            <w:pPr>
              <w:spacing w:line="256" w:lineRule="auto"/>
              <w:jc w:val="right"/>
              <w:rPr>
                <w:sz w:val="22"/>
                <w:szCs w:val="22"/>
              </w:rPr>
            </w:pPr>
          </w:p>
        </w:tc>
      </w:tr>
      <w:tr w:rsidR="0069677A" w14:paraId="1C2306B5" w14:textId="77777777" w:rsidTr="0069677A">
        <w:trPr>
          <w:trHeight w:val="255"/>
        </w:trPr>
        <w:tc>
          <w:tcPr>
            <w:tcW w:w="5387" w:type="dxa"/>
            <w:noWrap/>
            <w:tcMar>
              <w:top w:w="15" w:type="dxa"/>
              <w:left w:w="15" w:type="dxa"/>
              <w:bottom w:w="0" w:type="dxa"/>
              <w:right w:w="15" w:type="dxa"/>
            </w:tcMar>
            <w:vAlign w:val="bottom"/>
            <w:hideMark/>
          </w:tcPr>
          <w:p w14:paraId="095096C4" w14:textId="77777777" w:rsidR="0069677A" w:rsidRDefault="0069677A">
            <w:pPr>
              <w:spacing w:line="256" w:lineRule="auto"/>
              <w:rPr>
                <w:sz w:val="22"/>
                <w:szCs w:val="22"/>
              </w:rPr>
            </w:pPr>
            <w:r>
              <w:rPr>
                <w:sz w:val="22"/>
                <w:szCs w:val="22"/>
              </w:rPr>
              <w:t>Investment in intangible assets</w:t>
            </w:r>
          </w:p>
        </w:tc>
        <w:tc>
          <w:tcPr>
            <w:tcW w:w="992" w:type="dxa"/>
          </w:tcPr>
          <w:p w14:paraId="73B4A548" w14:textId="77777777" w:rsidR="0069677A" w:rsidRDefault="0069677A">
            <w:pPr>
              <w:spacing w:line="256" w:lineRule="auto"/>
              <w:rPr>
                <w:bCs/>
                <w:sz w:val="22"/>
                <w:szCs w:val="22"/>
              </w:rPr>
            </w:pPr>
          </w:p>
        </w:tc>
        <w:tc>
          <w:tcPr>
            <w:tcW w:w="1007" w:type="dxa"/>
            <w:noWrap/>
            <w:tcMar>
              <w:top w:w="15" w:type="dxa"/>
              <w:left w:w="15" w:type="dxa"/>
              <w:bottom w:w="0" w:type="dxa"/>
              <w:right w:w="15" w:type="dxa"/>
            </w:tcMar>
            <w:vAlign w:val="bottom"/>
            <w:hideMark/>
          </w:tcPr>
          <w:p w14:paraId="7435B151" w14:textId="7336B30D" w:rsidR="0069677A" w:rsidRDefault="0069677A">
            <w:pPr>
              <w:spacing w:line="256" w:lineRule="auto"/>
              <w:jc w:val="right"/>
              <w:rPr>
                <w:b/>
                <w:sz w:val="22"/>
                <w:szCs w:val="22"/>
              </w:rPr>
            </w:pPr>
            <w:r>
              <w:rPr>
                <w:b/>
                <w:sz w:val="22"/>
                <w:szCs w:val="22"/>
              </w:rPr>
              <w:t>(</w:t>
            </w:r>
            <w:r w:rsidR="00935C73">
              <w:rPr>
                <w:b/>
                <w:sz w:val="22"/>
                <w:szCs w:val="22"/>
              </w:rPr>
              <w:t>705</w:t>
            </w:r>
            <w:r>
              <w:rPr>
                <w:b/>
                <w:sz w:val="22"/>
                <w:szCs w:val="22"/>
              </w:rPr>
              <w:t>)</w:t>
            </w:r>
          </w:p>
        </w:tc>
        <w:tc>
          <w:tcPr>
            <w:tcW w:w="1104" w:type="dxa"/>
            <w:noWrap/>
            <w:tcMar>
              <w:top w:w="15" w:type="dxa"/>
              <w:left w:w="15" w:type="dxa"/>
              <w:bottom w:w="0" w:type="dxa"/>
              <w:right w:w="15" w:type="dxa"/>
            </w:tcMar>
            <w:vAlign w:val="bottom"/>
            <w:hideMark/>
          </w:tcPr>
          <w:p w14:paraId="4AE05B7F" w14:textId="77777777" w:rsidR="0069677A" w:rsidRDefault="0069677A">
            <w:pPr>
              <w:spacing w:line="256" w:lineRule="auto"/>
              <w:jc w:val="right"/>
              <w:rPr>
                <w:sz w:val="22"/>
                <w:szCs w:val="22"/>
              </w:rPr>
            </w:pPr>
            <w:r>
              <w:rPr>
                <w:sz w:val="22"/>
                <w:szCs w:val="22"/>
              </w:rPr>
              <w:t>(419)</w:t>
            </w:r>
          </w:p>
        </w:tc>
      </w:tr>
      <w:tr w:rsidR="0069677A" w14:paraId="5A706F51" w14:textId="77777777" w:rsidTr="0069677A">
        <w:trPr>
          <w:trHeight w:val="255"/>
        </w:trPr>
        <w:tc>
          <w:tcPr>
            <w:tcW w:w="5387" w:type="dxa"/>
            <w:noWrap/>
            <w:tcMar>
              <w:top w:w="15" w:type="dxa"/>
              <w:left w:w="15" w:type="dxa"/>
              <w:bottom w:w="0" w:type="dxa"/>
              <w:right w:w="15" w:type="dxa"/>
            </w:tcMar>
            <w:vAlign w:val="bottom"/>
            <w:hideMark/>
          </w:tcPr>
          <w:p w14:paraId="06C512FE" w14:textId="77777777" w:rsidR="0069677A" w:rsidRDefault="0069677A">
            <w:pPr>
              <w:spacing w:line="256" w:lineRule="auto"/>
              <w:rPr>
                <w:sz w:val="22"/>
                <w:szCs w:val="22"/>
              </w:rPr>
            </w:pPr>
            <w:r>
              <w:rPr>
                <w:sz w:val="22"/>
                <w:szCs w:val="22"/>
              </w:rPr>
              <w:t>Purchase of property, plant and equipment</w:t>
            </w:r>
          </w:p>
        </w:tc>
        <w:tc>
          <w:tcPr>
            <w:tcW w:w="992" w:type="dxa"/>
          </w:tcPr>
          <w:p w14:paraId="51764774" w14:textId="77777777" w:rsidR="0069677A" w:rsidRDefault="0069677A">
            <w:pPr>
              <w:spacing w:line="256" w:lineRule="auto"/>
              <w:rPr>
                <w:bCs/>
                <w:sz w:val="22"/>
                <w:szCs w:val="22"/>
              </w:rPr>
            </w:pPr>
          </w:p>
        </w:tc>
        <w:tc>
          <w:tcPr>
            <w:tcW w:w="1007" w:type="dxa"/>
            <w:noWrap/>
            <w:tcMar>
              <w:top w:w="15" w:type="dxa"/>
              <w:left w:w="15" w:type="dxa"/>
              <w:bottom w:w="0" w:type="dxa"/>
              <w:right w:w="15" w:type="dxa"/>
            </w:tcMar>
            <w:vAlign w:val="bottom"/>
            <w:hideMark/>
          </w:tcPr>
          <w:p w14:paraId="41A01B49" w14:textId="77777777" w:rsidR="0069677A" w:rsidRDefault="0069677A">
            <w:pPr>
              <w:spacing w:line="256" w:lineRule="auto"/>
              <w:jc w:val="right"/>
              <w:rPr>
                <w:b/>
                <w:sz w:val="22"/>
                <w:szCs w:val="22"/>
              </w:rPr>
            </w:pPr>
            <w:r>
              <w:rPr>
                <w:b/>
                <w:sz w:val="22"/>
                <w:szCs w:val="22"/>
              </w:rPr>
              <w:t>(1,741)</w:t>
            </w:r>
          </w:p>
        </w:tc>
        <w:tc>
          <w:tcPr>
            <w:tcW w:w="1104" w:type="dxa"/>
            <w:noWrap/>
            <w:tcMar>
              <w:top w:w="15" w:type="dxa"/>
              <w:left w:w="15" w:type="dxa"/>
              <w:bottom w:w="0" w:type="dxa"/>
              <w:right w:w="15" w:type="dxa"/>
            </w:tcMar>
            <w:vAlign w:val="bottom"/>
            <w:hideMark/>
          </w:tcPr>
          <w:p w14:paraId="364399CF" w14:textId="77777777" w:rsidR="0069677A" w:rsidRDefault="0069677A">
            <w:pPr>
              <w:spacing w:line="256" w:lineRule="auto"/>
              <w:jc w:val="right"/>
              <w:rPr>
                <w:sz w:val="22"/>
                <w:szCs w:val="22"/>
              </w:rPr>
            </w:pPr>
            <w:r>
              <w:rPr>
                <w:sz w:val="22"/>
                <w:szCs w:val="22"/>
              </w:rPr>
              <w:t>(1,734)</w:t>
            </w:r>
          </w:p>
        </w:tc>
      </w:tr>
      <w:tr w:rsidR="0069677A" w14:paraId="44532307" w14:textId="77777777" w:rsidTr="0069677A">
        <w:trPr>
          <w:trHeight w:val="255"/>
        </w:trPr>
        <w:tc>
          <w:tcPr>
            <w:tcW w:w="5387" w:type="dxa"/>
            <w:noWrap/>
            <w:tcMar>
              <w:top w:w="15" w:type="dxa"/>
              <w:left w:w="15" w:type="dxa"/>
              <w:bottom w:w="0" w:type="dxa"/>
              <w:right w:w="15" w:type="dxa"/>
            </w:tcMar>
            <w:vAlign w:val="bottom"/>
            <w:hideMark/>
          </w:tcPr>
          <w:p w14:paraId="266B5D74" w14:textId="77777777" w:rsidR="0069677A" w:rsidRDefault="0069677A">
            <w:pPr>
              <w:spacing w:line="256" w:lineRule="auto"/>
              <w:rPr>
                <w:sz w:val="22"/>
                <w:szCs w:val="22"/>
              </w:rPr>
            </w:pPr>
            <w:r>
              <w:rPr>
                <w:sz w:val="22"/>
                <w:szCs w:val="22"/>
              </w:rPr>
              <w:t>Sale of biological assets</w:t>
            </w:r>
          </w:p>
        </w:tc>
        <w:tc>
          <w:tcPr>
            <w:tcW w:w="992" w:type="dxa"/>
          </w:tcPr>
          <w:p w14:paraId="7FECFB9C" w14:textId="77777777" w:rsidR="0069677A" w:rsidRDefault="0069677A">
            <w:pPr>
              <w:spacing w:line="256" w:lineRule="auto"/>
              <w:rPr>
                <w:bCs/>
                <w:sz w:val="22"/>
                <w:szCs w:val="22"/>
              </w:rPr>
            </w:pPr>
          </w:p>
        </w:tc>
        <w:tc>
          <w:tcPr>
            <w:tcW w:w="1007" w:type="dxa"/>
            <w:noWrap/>
            <w:tcMar>
              <w:top w:w="15" w:type="dxa"/>
              <w:left w:w="15" w:type="dxa"/>
              <w:bottom w:w="0" w:type="dxa"/>
              <w:right w:w="15" w:type="dxa"/>
            </w:tcMar>
            <w:vAlign w:val="bottom"/>
            <w:hideMark/>
          </w:tcPr>
          <w:p w14:paraId="417D9305" w14:textId="77777777" w:rsidR="0069677A" w:rsidRDefault="0069677A">
            <w:pPr>
              <w:spacing w:line="256" w:lineRule="auto"/>
              <w:jc w:val="right"/>
              <w:rPr>
                <w:b/>
                <w:sz w:val="22"/>
                <w:szCs w:val="22"/>
              </w:rPr>
            </w:pPr>
            <w:r>
              <w:rPr>
                <w:b/>
                <w:sz w:val="22"/>
                <w:szCs w:val="22"/>
              </w:rPr>
              <w:t>346</w:t>
            </w:r>
          </w:p>
        </w:tc>
        <w:tc>
          <w:tcPr>
            <w:tcW w:w="1104" w:type="dxa"/>
            <w:noWrap/>
            <w:tcMar>
              <w:top w:w="15" w:type="dxa"/>
              <w:left w:w="15" w:type="dxa"/>
              <w:bottom w:w="0" w:type="dxa"/>
              <w:right w:w="15" w:type="dxa"/>
            </w:tcMar>
            <w:vAlign w:val="bottom"/>
            <w:hideMark/>
          </w:tcPr>
          <w:p w14:paraId="097E10B2" w14:textId="77777777" w:rsidR="0069677A" w:rsidRDefault="0069677A">
            <w:pPr>
              <w:spacing w:line="256" w:lineRule="auto"/>
              <w:jc w:val="right"/>
              <w:rPr>
                <w:sz w:val="22"/>
                <w:szCs w:val="22"/>
              </w:rPr>
            </w:pPr>
            <w:r>
              <w:rPr>
                <w:sz w:val="22"/>
                <w:szCs w:val="22"/>
              </w:rPr>
              <w:t>209</w:t>
            </w:r>
          </w:p>
        </w:tc>
      </w:tr>
      <w:tr w:rsidR="0069677A" w14:paraId="144A39B5" w14:textId="77777777" w:rsidTr="0069677A">
        <w:trPr>
          <w:trHeight w:val="255"/>
        </w:trPr>
        <w:tc>
          <w:tcPr>
            <w:tcW w:w="5387" w:type="dxa"/>
            <w:noWrap/>
            <w:tcMar>
              <w:top w:w="15" w:type="dxa"/>
              <w:left w:w="15" w:type="dxa"/>
              <w:bottom w:w="0" w:type="dxa"/>
              <w:right w:w="15" w:type="dxa"/>
            </w:tcMar>
            <w:vAlign w:val="bottom"/>
            <w:hideMark/>
          </w:tcPr>
          <w:p w14:paraId="44739D62" w14:textId="77777777" w:rsidR="0069677A" w:rsidRDefault="0069677A">
            <w:pPr>
              <w:spacing w:line="256" w:lineRule="auto"/>
              <w:rPr>
                <w:sz w:val="22"/>
                <w:szCs w:val="22"/>
              </w:rPr>
            </w:pPr>
            <w:r>
              <w:rPr>
                <w:sz w:val="22"/>
                <w:szCs w:val="22"/>
              </w:rPr>
              <w:t>Purchase of biological assets</w:t>
            </w:r>
          </w:p>
        </w:tc>
        <w:tc>
          <w:tcPr>
            <w:tcW w:w="992" w:type="dxa"/>
          </w:tcPr>
          <w:p w14:paraId="22698A47" w14:textId="77777777" w:rsidR="0069677A" w:rsidRDefault="0069677A">
            <w:pPr>
              <w:spacing w:line="256" w:lineRule="auto"/>
              <w:rPr>
                <w:bCs/>
                <w:sz w:val="22"/>
                <w:szCs w:val="22"/>
              </w:rPr>
            </w:pPr>
          </w:p>
        </w:tc>
        <w:tc>
          <w:tcPr>
            <w:tcW w:w="1007" w:type="dxa"/>
            <w:tcBorders>
              <w:top w:val="nil"/>
              <w:left w:val="nil"/>
              <w:bottom w:val="single" w:sz="4" w:space="0" w:color="auto"/>
              <w:right w:val="nil"/>
            </w:tcBorders>
            <w:noWrap/>
            <w:tcMar>
              <w:top w:w="15" w:type="dxa"/>
              <w:left w:w="15" w:type="dxa"/>
              <w:bottom w:w="0" w:type="dxa"/>
              <w:right w:w="15" w:type="dxa"/>
            </w:tcMar>
            <w:vAlign w:val="bottom"/>
            <w:hideMark/>
          </w:tcPr>
          <w:p w14:paraId="45EA78D2" w14:textId="77777777" w:rsidR="0069677A" w:rsidRDefault="0069677A">
            <w:pPr>
              <w:spacing w:line="256" w:lineRule="auto"/>
              <w:jc w:val="right"/>
              <w:rPr>
                <w:b/>
                <w:sz w:val="22"/>
                <w:szCs w:val="22"/>
              </w:rPr>
            </w:pPr>
            <w:r>
              <w:rPr>
                <w:b/>
                <w:sz w:val="22"/>
                <w:szCs w:val="22"/>
              </w:rPr>
              <w:t>(65)</w:t>
            </w:r>
          </w:p>
        </w:tc>
        <w:tc>
          <w:tcPr>
            <w:tcW w:w="1104" w:type="dxa"/>
            <w:tcBorders>
              <w:top w:val="nil"/>
              <w:left w:val="nil"/>
              <w:bottom w:val="single" w:sz="4" w:space="0" w:color="auto"/>
              <w:right w:val="nil"/>
            </w:tcBorders>
            <w:noWrap/>
            <w:tcMar>
              <w:top w:w="15" w:type="dxa"/>
              <w:left w:w="15" w:type="dxa"/>
              <w:bottom w:w="0" w:type="dxa"/>
              <w:right w:w="15" w:type="dxa"/>
            </w:tcMar>
            <w:vAlign w:val="bottom"/>
            <w:hideMark/>
          </w:tcPr>
          <w:p w14:paraId="4F29DE83" w14:textId="77777777" w:rsidR="0069677A" w:rsidRDefault="0069677A">
            <w:pPr>
              <w:spacing w:line="256" w:lineRule="auto"/>
              <w:jc w:val="right"/>
              <w:rPr>
                <w:sz w:val="22"/>
                <w:szCs w:val="22"/>
              </w:rPr>
            </w:pPr>
            <w:r>
              <w:rPr>
                <w:sz w:val="22"/>
                <w:szCs w:val="22"/>
              </w:rPr>
              <w:t>(324)</w:t>
            </w:r>
          </w:p>
        </w:tc>
      </w:tr>
      <w:tr w:rsidR="0069677A" w14:paraId="4D00C76B" w14:textId="77777777" w:rsidTr="0069677A">
        <w:trPr>
          <w:trHeight w:val="255"/>
        </w:trPr>
        <w:tc>
          <w:tcPr>
            <w:tcW w:w="5387" w:type="dxa"/>
            <w:noWrap/>
            <w:tcMar>
              <w:top w:w="15" w:type="dxa"/>
              <w:left w:w="15" w:type="dxa"/>
              <w:bottom w:w="0" w:type="dxa"/>
              <w:right w:w="15" w:type="dxa"/>
            </w:tcMar>
            <w:vAlign w:val="bottom"/>
            <w:hideMark/>
          </w:tcPr>
          <w:p w14:paraId="7E94A0BA" w14:textId="77777777" w:rsidR="0069677A" w:rsidRDefault="0069677A">
            <w:pPr>
              <w:spacing w:line="256" w:lineRule="auto"/>
              <w:rPr>
                <w:sz w:val="22"/>
                <w:szCs w:val="22"/>
              </w:rPr>
            </w:pPr>
            <w:r>
              <w:rPr>
                <w:b/>
                <w:bCs/>
                <w:sz w:val="22"/>
                <w:szCs w:val="22"/>
              </w:rPr>
              <w:t>Net cash used in investing activities</w:t>
            </w:r>
          </w:p>
        </w:tc>
        <w:tc>
          <w:tcPr>
            <w:tcW w:w="992" w:type="dxa"/>
          </w:tcPr>
          <w:p w14:paraId="26E706D1" w14:textId="77777777" w:rsidR="0069677A" w:rsidRDefault="0069677A">
            <w:pPr>
              <w:spacing w:line="256" w:lineRule="auto"/>
              <w:rPr>
                <w:bCs/>
                <w:sz w:val="22"/>
                <w:szCs w:val="22"/>
              </w:rPr>
            </w:pPr>
          </w:p>
        </w:tc>
        <w:tc>
          <w:tcPr>
            <w:tcW w:w="1007"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14:paraId="07FD5486" w14:textId="715FBF88" w:rsidR="0069677A" w:rsidRDefault="0069677A">
            <w:pPr>
              <w:spacing w:line="256" w:lineRule="auto"/>
              <w:jc w:val="right"/>
              <w:rPr>
                <w:b/>
                <w:sz w:val="22"/>
                <w:szCs w:val="22"/>
              </w:rPr>
            </w:pPr>
            <w:r>
              <w:rPr>
                <w:b/>
                <w:sz w:val="22"/>
                <w:szCs w:val="22"/>
              </w:rPr>
              <w:t>(2,</w:t>
            </w:r>
            <w:r w:rsidR="00935C73">
              <w:rPr>
                <w:b/>
                <w:sz w:val="22"/>
                <w:szCs w:val="22"/>
              </w:rPr>
              <w:t>165</w:t>
            </w:r>
            <w:r>
              <w:rPr>
                <w:b/>
                <w:sz w:val="22"/>
                <w:szCs w:val="22"/>
              </w:rPr>
              <w:t>)</w:t>
            </w:r>
          </w:p>
        </w:tc>
        <w:tc>
          <w:tcPr>
            <w:tcW w:w="1104"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14:paraId="1CA04EEE" w14:textId="77777777" w:rsidR="0069677A" w:rsidRDefault="0069677A">
            <w:pPr>
              <w:spacing w:line="256" w:lineRule="auto"/>
              <w:jc w:val="right"/>
              <w:rPr>
                <w:sz w:val="22"/>
                <w:szCs w:val="22"/>
              </w:rPr>
            </w:pPr>
            <w:r>
              <w:rPr>
                <w:sz w:val="22"/>
                <w:szCs w:val="22"/>
              </w:rPr>
              <w:t>(2,268)</w:t>
            </w:r>
          </w:p>
        </w:tc>
      </w:tr>
      <w:tr w:rsidR="0069677A" w14:paraId="06775FEC" w14:textId="77777777" w:rsidTr="0069677A">
        <w:trPr>
          <w:trHeight w:val="255"/>
        </w:trPr>
        <w:tc>
          <w:tcPr>
            <w:tcW w:w="5387" w:type="dxa"/>
            <w:noWrap/>
            <w:tcMar>
              <w:top w:w="15" w:type="dxa"/>
              <w:left w:w="15" w:type="dxa"/>
              <w:bottom w:w="0" w:type="dxa"/>
              <w:right w:w="15" w:type="dxa"/>
            </w:tcMar>
            <w:vAlign w:val="bottom"/>
          </w:tcPr>
          <w:p w14:paraId="31EF2E3C" w14:textId="77777777" w:rsidR="0069677A" w:rsidRDefault="0069677A">
            <w:pPr>
              <w:spacing w:line="256" w:lineRule="auto"/>
              <w:rPr>
                <w:b/>
                <w:sz w:val="22"/>
                <w:szCs w:val="22"/>
              </w:rPr>
            </w:pPr>
          </w:p>
          <w:p w14:paraId="3FCD8FE2" w14:textId="77777777" w:rsidR="0069677A" w:rsidRDefault="0069677A">
            <w:pPr>
              <w:spacing w:line="256" w:lineRule="auto"/>
              <w:rPr>
                <w:b/>
                <w:sz w:val="22"/>
                <w:szCs w:val="22"/>
              </w:rPr>
            </w:pPr>
            <w:r>
              <w:rPr>
                <w:b/>
                <w:sz w:val="22"/>
                <w:szCs w:val="22"/>
              </w:rPr>
              <w:t>Cash flows from financing activities</w:t>
            </w:r>
          </w:p>
          <w:p w14:paraId="4C15B402" w14:textId="77777777" w:rsidR="0069677A" w:rsidRDefault="0069677A">
            <w:pPr>
              <w:spacing w:line="256" w:lineRule="auto"/>
              <w:rPr>
                <w:b/>
                <w:bCs/>
                <w:sz w:val="22"/>
                <w:szCs w:val="22"/>
              </w:rPr>
            </w:pPr>
            <w:r>
              <w:rPr>
                <w:sz w:val="22"/>
                <w:szCs w:val="22"/>
              </w:rPr>
              <w:t>Dividends paid to shareholders</w:t>
            </w:r>
          </w:p>
        </w:tc>
        <w:tc>
          <w:tcPr>
            <w:tcW w:w="992" w:type="dxa"/>
          </w:tcPr>
          <w:p w14:paraId="77A78192" w14:textId="77777777" w:rsidR="0069677A" w:rsidRDefault="0069677A">
            <w:pPr>
              <w:spacing w:line="256" w:lineRule="auto"/>
              <w:rPr>
                <w:sz w:val="22"/>
                <w:szCs w:val="22"/>
              </w:rPr>
            </w:pPr>
          </w:p>
        </w:tc>
        <w:tc>
          <w:tcPr>
            <w:tcW w:w="1007" w:type="dxa"/>
            <w:noWrap/>
            <w:tcMar>
              <w:top w:w="15" w:type="dxa"/>
              <w:left w:w="15" w:type="dxa"/>
              <w:bottom w:w="0" w:type="dxa"/>
              <w:right w:w="15" w:type="dxa"/>
            </w:tcMar>
            <w:vAlign w:val="bottom"/>
            <w:hideMark/>
          </w:tcPr>
          <w:p w14:paraId="7022BDDD" w14:textId="77777777" w:rsidR="0069677A" w:rsidRDefault="0069677A">
            <w:pPr>
              <w:spacing w:line="256" w:lineRule="auto"/>
              <w:jc w:val="right"/>
              <w:rPr>
                <w:b/>
                <w:sz w:val="22"/>
                <w:szCs w:val="22"/>
              </w:rPr>
            </w:pPr>
            <w:r>
              <w:rPr>
                <w:b/>
                <w:sz w:val="22"/>
                <w:szCs w:val="22"/>
              </w:rPr>
              <w:t>-</w:t>
            </w:r>
          </w:p>
        </w:tc>
        <w:tc>
          <w:tcPr>
            <w:tcW w:w="1104" w:type="dxa"/>
            <w:noWrap/>
            <w:tcMar>
              <w:top w:w="15" w:type="dxa"/>
              <w:left w:w="15" w:type="dxa"/>
              <w:bottom w:w="0" w:type="dxa"/>
              <w:right w:w="15" w:type="dxa"/>
            </w:tcMar>
            <w:vAlign w:val="bottom"/>
            <w:hideMark/>
          </w:tcPr>
          <w:p w14:paraId="7FDAC2FD" w14:textId="77777777" w:rsidR="0069677A" w:rsidRDefault="0069677A">
            <w:pPr>
              <w:spacing w:line="256" w:lineRule="auto"/>
              <w:jc w:val="right"/>
              <w:rPr>
                <w:sz w:val="22"/>
                <w:szCs w:val="22"/>
              </w:rPr>
            </w:pPr>
            <w:r>
              <w:rPr>
                <w:sz w:val="22"/>
                <w:szCs w:val="22"/>
              </w:rPr>
              <w:t>(449)</w:t>
            </w:r>
          </w:p>
        </w:tc>
      </w:tr>
      <w:tr w:rsidR="0069677A" w14:paraId="20612476" w14:textId="77777777" w:rsidTr="0069677A">
        <w:trPr>
          <w:trHeight w:val="255"/>
        </w:trPr>
        <w:tc>
          <w:tcPr>
            <w:tcW w:w="5387" w:type="dxa"/>
            <w:noWrap/>
            <w:tcMar>
              <w:top w:w="15" w:type="dxa"/>
              <w:left w:w="15" w:type="dxa"/>
              <w:bottom w:w="0" w:type="dxa"/>
              <w:right w:w="15" w:type="dxa"/>
            </w:tcMar>
            <w:vAlign w:val="bottom"/>
            <w:hideMark/>
          </w:tcPr>
          <w:p w14:paraId="2CA78587" w14:textId="77777777" w:rsidR="0069677A" w:rsidRDefault="0069677A">
            <w:pPr>
              <w:spacing w:line="256" w:lineRule="auto"/>
              <w:rPr>
                <w:bCs/>
                <w:sz w:val="22"/>
                <w:szCs w:val="22"/>
              </w:rPr>
            </w:pPr>
            <w:r>
              <w:rPr>
                <w:bCs/>
                <w:sz w:val="22"/>
                <w:szCs w:val="22"/>
              </w:rPr>
              <w:t>Invoice finance payments</w:t>
            </w:r>
          </w:p>
        </w:tc>
        <w:tc>
          <w:tcPr>
            <w:tcW w:w="992" w:type="dxa"/>
          </w:tcPr>
          <w:p w14:paraId="31BA46A3" w14:textId="77777777" w:rsidR="0069677A" w:rsidRDefault="0069677A">
            <w:pPr>
              <w:spacing w:line="256" w:lineRule="auto"/>
              <w:rPr>
                <w:bCs/>
                <w:sz w:val="22"/>
                <w:szCs w:val="22"/>
              </w:rPr>
            </w:pPr>
          </w:p>
        </w:tc>
        <w:tc>
          <w:tcPr>
            <w:tcW w:w="1007" w:type="dxa"/>
            <w:noWrap/>
            <w:tcMar>
              <w:top w:w="15" w:type="dxa"/>
              <w:left w:w="15" w:type="dxa"/>
              <w:bottom w:w="0" w:type="dxa"/>
              <w:right w:w="15" w:type="dxa"/>
            </w:tcMar>
            <w:vAlign w:val="bottom"/>
            <w:hideMark/>
          </w:tcPr>
          <w:p w14:paraId="5234B6B4" w14:textId="77777777" w:rsidR="0069677A" w:rsidRDefault="0069677A">
            <w:pPr>
              <w:spacing w:line="256" w:lineRule="auto"/>
              <w:jc w:val="right"/>
              <w:rPr>
                <w:b/>
                <w:sz w:val="22"/>
                <w:szCs w:val="22"/>
              </w:rPr>
            </w:pPr>
            <w:r>
              <w:rPr>
                <w:b/>
                <w:sz w:val="22"/>
                <w:szCs w:val="22"/>
              </w:rPr>
              <w:t>(150)</w:t>
            </w:r>
          </w:p>
        </w:tc>
        <w:tc>
          <w:tcPr>
            <w:tcW w:w="1104" w:type="dxa"/>
            <w:noWrap/>
            <w:tcMar>
              <w:top w:w="15" w:type="dxa"/>
              <w:left w:w="15" w:type="dxa"/>
              <w:bottom w:w="0" w:type="dxa"/>
              <w:right w:w="15" w:type="dxa"/>
            </w:tcMar>
            <w:vAlign w:val="bottom"/>
            <w:hideMark/>
          </w:tcPr>
          <w:p w14:paraId="4B51E8EA" w14:textId="77777777" w:rsidR="0069677A" w:rsidRDefault="0069677A">
            <w:pPr>
              <w:spacing w:line="256" w:lineRule="auto"/>
              <w:jc w:val="right"/>
              <w:rPr>
                <w:sz w:val="22"/>
                <w:szCs w:val="22"/>
              </w:rPr>
            </w:pPr>
            <w:r>
              <w:rPr>
                <w:sz w:val="22"/>
                <w:szCs w:val="22"/>
              </w:rPr>
              <w:t>(502)</w:t>
            </w:r>
          </w:p>
        </w:tc>
      </w:tr>
      <w:tr w:rsidR="0069677A" w14:paraId="147B35DE" w14:textId="77777777" w:rsidTr="0069677A">
        <w:trPr>
          <w:trHeight w:val="255"/>
        </w:trPr>
        <w:tc>
          <w:tcPr>
            <w:tcW w:w="5387" w:type="dxa"/>
            <w:noWrap/>
            <w:tcMar>
              <w:top w:w="15" w:type="dxa"/>
              <w:left w:w="15" w:type="dxa"/>
              <w:bottom w:w="0" w:type="dxa"/>
              <w:right w:w="15" w:type="dxa"/>
            </w:tcMar>
            <w:vAlign w:val="bottom"/>
            <w:hideMark/>
          </w:tcPr>
          <w:p w14:paraId="49C09956" w14:textId="77777777" w:rsidR="0069677A" w:rsidRDefault="0069677A">
            <w:pPr>
              <w:spacing w:line="256" w:lineRule="auto"/>
              <w:rPr>
                <w:bCs/>
                <w:sz w:val="22"/>
                <w:szCs w:val="22"/>
              </w:rPr>
            </w:pPr>
            <w:r>
              <w:rPr>
                <w:bCs/>
                <w:sz w:val="22"/>
                <w:szCs w:val="22"/>
              </w:rPr>
              <w:t>Lease liability capital repayments</w:t>
            </w:r>
          </w:p>
        </w:tc>
        <w:tc>
          <w:tcPr>
            <w:tcW w:w="992" w:type="dxa"/>
          </w:tcPr>
          <w:p w14:paraId="7CC7433E" w14:textId="77777777" w:rsidR="0069677A" w:rsidRDefault="0069677A">
            <w:pPr>
              <w:spacing w:line="256" w:lineRule="auto"/>
              <w:rPr>
                <w:bCs/>
                <w:sz w:val="22"/>
                <w:szCs w:val="22"/>
              </w:rPr>
            </w:pPr>
          </w:p>
        </w:tc>
        <w:tc>
          <w:tcPr>
            <w:tcW w:w="1007" w:type="dxa"/>
            <w:noWrap/>
            <w:tcMar>
              <w:top w:w="15" w:type="dxa"/>
              <w:left w:w="15" w:type="dxa"/>
              <w:bottom w:w="0" w:type="dxa"/>
              <w:right w:w="15" w:type="dxa"/>
            </w:tcMar>
            <w:vAlign w:val="bottom"/>
            <w:hideMark/>
          </w:tcPr>
          <w:p w14:paraId="036B9AE9" w14:textId="77777777" w:rsidR="0069677A" w:rsidRDefault="0069677A">
            <w:pPr>
              <w:spacing w:line="256" w:lineRule="auto"/>
              <w:jc w:val="right"/>
              <w:rPr>
                <w:b/>
                <w:sz w:val="22"/>
                <w:szCs w:val="22"/>
              </w:rPr>
            </w:pPr>
            <w:r>
              <w:rPr>
                <w:b/>
                <w:sz w:val="22"/>
                <w:szCs w:val="22"/>
              </w:rPr>
              <w:t>(845)</w:t>
            </w:r>
          </w:p>
        </w:tc>
        <w:tc>
          <w:tcPr>
            <w:tcW w:w="1104" w:type="dxa"/>
            <w:noWrap/>
            <w:tcMar>
              <w:top w:w="15" w:type="dxa"/>
              <w:left w:w="15" w:type="dxa"/>
              <w:bottom w:w="0" w:type="dxa"/>
              <w:right w:w="15" w:type="dxa"/>
            </w:tcMar>
            <w:vAlign w:val="bottom"/>
            <w:hideMark/>
          </w:tcPr>
          <w:p w14:paraId="52229A03" w14:textId="77777777" w:rsidR="0069677A" w:rsidRDefault="0069677A">
            <w:pPr>
              <w:spacing w:line="256" w:lineRule="auto"/>
              <w:jc w:val="right"/>
              <w:rPr>
                <w:sz w:val="22"/>
                <w:szCs w:val="22"/>
              </w:rPr>
            </w:pPr>
            <w:r>
              <w:rPr>
                <w:sz w:val="22"/>
                <w:szCs w:val="22"/>
              </w:rPr>
              <w:t>(979)</w:t>
            </w:r>
          </w:p>
        </w:tc>
      </w:tr>
      <w:tr w:rsidR="0069677A" w14:paraId="511A5FCF" w14:textId="77777777" w:rsidTr="0069677A">
        <w:trPr>
          <w:trHeight w:val="255"/>
        </w:trPr>
        <w:tc>
          <w:tcPr>
            <w:tcW w:w="5387" w:type="dxa"/>
            <w:noWrap/>
            <w:tcMar>
              <w:top w:w="15" w:type="dxa"/>
              <w:left w:w="15" w:type="dxa"/>
              <w:bottom w:w="0" w:type="dxa"/>
              <w:right w:w="15" w:type="dxa"/>
            </w:tcMar>
            <w:vAlign w:val="bottom"/>
            <w:hideMark/>
          </w:tcPr>
          <w:p w14:paraId="55CE31C8" w14:textId="77777777" w:rsidR="0069677A" w:rsidRDefault="0069677A">
            <w:pPr>
              <w:spacing w:line="256" w:lineRule="auto"/>
              <w:rPr>
                <w:bCs/>
                <w:sz w:val="22"/>
                <w:szCs w:val="22"/>
              </w:rPr>
            </w:pPr>
            <w:r>
              <w:rPr>
                <w:bCs/>
                <w:sz w:val="22"/>
                <w:szCs w:val="22"/>
              </w:rPr>
              <w:t>Term loan advance</w:t>
            </w:r>
          </w:p>
        </w:tc>
        <w:tc>
          <w:tcPr>
            <w:tcW w:w="992" w:type="dxa"/>
          </w:tcPr>
          <w:p w14:paraId="62589EF8" w14:textId="77777777" w:rsidR="0069677A" w:rsidRDefault="0069677A">
            <w:pPr>
              <w:spacing w:line="256" w:lineRule="auto"/>
              <w:rPr>
                <w:bCs/>
                <w:sz w:val="22"/>
                <w:szCs w:val="22"/>
              </w:rPr>
            </w:pPr>
          </w:p>
        </w:tc>
        <w:tc>
          <w:tcPr>
            <w:tcW w:w="1007" w:type="dxa"/>
            <w:noWrap/>
            <w:tcMar>
              <w:top w:w="15" w:type="dxa"/>
              <w:left w:w="15" w:type="dxa"/>
              <w:bottom w:w="0" w:type="dxa"/>
              <w:right w:w="15" w:type="dxa"/>
            </w:tcMar>
            <w:vAlign w:val="bottom"/>
            <w:hideMark/>
          </w:tcPr>
          <w:p w14:paraId="7CD77DB6" w14:textId="77777777" w:rsidR="0069677A" w:rsidRDefault="0069677A">
            <w:pPr>
              <w:spacing w:line="256" w:lineRule="auto"/>
              <w:jc w:val="right"/>
              <w:rPr>
                <w:b/>
                <w:sz w:val="22"/>
                <w:szCs w:val="22"/>
              </w:rPr>
            </w:pPr>
            <w:r>
              <w:rPr>
                <w:b/>
                <w:sz w:val="22"/>
                <w:szCs w:val="22"/>
              </w:rPr>
              <w:t>-</w:t>
            </w:r>
          </w:p>
        </w:tc>
        <w:tc>
          <w:tcPr>
            <w:tcW w:w="1104" w:type="dxa"/>
            <w:noWrap/>
            <w:tcMar>
              <w:top w:w="15" w:type="dxa"/>
              <w:left w:w="15" w:type="dxa"/>
              <w:bottom w:w="0" w:type="dxa"/>
              <w:right w:w="15" w:type="dxa"/>
            </w:tcMar>
            <w:vAlign w:val="bottom"/>
            <w:hideMark/>
          </w:tcPr>
          <w:p w14:paraId="71FEA55A" w14:textId="77777777" w:rsidR="0069677A" w:rsidRDefault="0069677A">
            <w:pPr>
              <w:spacing w:line="256" w:lineRule="auto"/>
              <w:jc w:val="right"/>
              <w:rPr>
                <w:sz w:val="22"/>
                <w:szCs w:val="22"/>
              </w:rPr>
            </w:pPr>
            <w:r>
              <w:rPr>
                <w:sz w:val="22"/>
                <w:szCs w:val="22"/>
              </w:rPr>
              <w:t>300</w:t>
            </w:r>
          </w:p>
        </w:tc>
      </w:tr>
      <w:tr w:rsidR="0069677A" w14:paraId="2BF123D3" w14:textId="77777777" w:rsidTr="0069677A">
        <w:trPr>
          <w:trHeight w:val="255"/>
        </w:trPr>
        <w:tc>
          <w:tcPr>
            <w:tcW w:w="5387" w:type="dxa"/>
            <w:noWrap/>
            <w:tcMar>
              <w:top w:w="15" w:type="dxa"/>
              <w:left w:w="15" w:type="dxa"/>
              <w:bottom w:w="0" w:type="dxa"/>
              <w:right w:w="15" w:type="dxa"/>
            </w:tcMar>
            <w:vAlign w:val="bottom"/>
            <w:hideMark/>
          </w:tcPr>
          <w:p w14:paraId="7BDA7A9D" w14:textId="77777777" w:rsidR="0069677A" w:rsidRDefault="0069677A">
            <w:pPr>
              <w:spacing w:line="256" w:lineRule="auto"/>
              <w:rPr>
                <w:bCs/>
                <w:sz w:val="22"/>
                <w:szCs w:val="22"/>
              </w:rPr>
            </w:pPr>
            <w:r>
              <w:rPr>
                <w:bCs/>
                <w:sz w:val="22"/>
                <w:szCs w:val="22"/>
              </w:rPr>
              <w:t>Lease liability advances</w:t>
            </w:r>
          </w:p>
        </w:tc>
        <w:tc>
          <w:tcPr>
            <w:tcW w:w="992" w:type="dxa"/>
          </w:tcPr>
          <w:p w14:paraId="079EC0E4" w14:textId="77777777" w:rsidR="0069677A" w:rsidRDefault="0069677A">
            <w:pPr>
              <w:spacing w:line="256" w:lineRule="auto"/>
              <w:rPr>
                <w:bCs/>
                <w:sz w:val="22"/>
                <w:szCs w:val="22"/>
              </w:rPr>
            </w:pPr>
          </w:p>
        </w:tc>
        <w:tc>
          <w:tcPr>
            <w:tcW w:w="1007" w:type="dxa"/>
            <w:noWrap/>
            <w:tcMar>
              <w:top w:w="15" w:type="dxa"/>
              <w:left w:w="15" w:type="dxa"/>
              <w:bottom w:w="0" w:type="dxa"/>
              <w:right w:w="15" w:type="dxa"/>
            </w:tcMar>
            <w:vAlign w:val="bottom"/>
            <w:hideMark/>
          </w:tcPr>
          <w:p w14:paraId="705A9503" w14:textId="77777777" w:rsidR="0069677A" w:rsidRDefault="0069677A">
            <w:pPr>
              <w:spacing w:line="256" w:lineRule="auto"/>
              <w:jc w:val="right"/>
              <w:rPr>
                <w:b/>
                <w:sz w:val="22"/>
                <w:szCs w:val="22"/>
              </w:rPr>
            </w:pPr>
            <w:r>
              <w:rPr>
                <w:b/>
                <w:sz w:val="22"/>
                <w:szCs w:val="22"/>
              </w:rPr>
              <w:t>882</w:t>
            </w:r>
          </w:p>
        </w:tc>
        <w:tc>
          <w:tcPr>
            <w:tcW w:w="1104" w:type="dxa"/>
            <w:noWrap/>
            <w:tcMar>
              <w:top w:w="15" w:type="dxa"/>
              <w:left w:w="15" w:type="dxa"/>
              <w:bottom w:w="0" w:type="dxa"/>
              <w:right w:w="15" w:type="dxa"/>
            </w:tcMar>
            <w:vAlign w:val="bottom"/>
            <w:hideMark/>
          </w:tcPr>
          <w:p w14:paraId="5E13780B" w14:textId="77777777" w:rsidR="0069677A" w:rsidRDefault="0069677A">
            <w:pPr>
              <w:spacing w:line="256" w:lineRule="auto"/>
              <w:jc w:val="right"/>
              <w:rPr>
                <w:sz w:val="22"/>
                <w:szCs w:val="22"/>
              </w:rPr>
            </w:pPr>
            <w:r>
              <w:rPr>
                <w:sz w:val="22"/>
                <w:szCs w:val="22"/>
              </w:rPr>
              <w:t>271</w:t>
            </w:r>
          </w:p>
        </w:tc>
      </w:tr>
      <w:tr w:rsidR="0069677A" w14:paraId="626DFF27" w14:textId="77777777" w:rsidTr="0069677A">
        <w:trPr>
          <w:trHeight w:val="255"/>
        </w:trPr>
        <w:tc>
          <w:tcPr>
            <w:tcW w:w="5387" w:type="dxa"/>
            <w:noWrap/>
            <w:tcMar>
              <w:top w:w="15" w:type="dxa"/>
              <w:left w:w="15" w:type="dxa"/>
              <w:bottom w:w="0" w:type="dxa"/>
              <w:right w:w="15" w:type="dxa"/>
            </w:tcMar>
            <w:vAlign w:val="bottom"/>
            <w:hideMark/>
          </w:tcPr>
          <w:p w14:paraId="5CF829B8" w14:textId="77777777" w:rsidR="0069677A" w:rsidRDefault="0069677A">
            <w:pPr>
              <w:spacing w:line="256" w:lineRule="auto"/>
              <w:rPr>
                <w:bCs/>
                <w:sz w:val="22"/>
                <w:szCs w:val="22"/>
              </w:rPr>
            </w:pPr>
            <w:r>
              <w:rPr>
                <w:bCs/>
                <w:sz w:val="22"/>
                <w:szCs w:val="22"/>
              </w:rPr>
              <w:t>Term loan repayments</w:t>
            </w:r>
          </w:p>
        </w:tc>
        <w:tc>
          <w:tcPr>
            <w:tcW w:w="992" w:type="dxa"/>
          </w:tcPr>
          <w:p w14:paraId="37657067" w14:textId="77777777" w:rsidR="0069677A" w:rsidRDefault="0069677A">
            <w:pPr>
              <w:spacing w:line="256" w:lineRule="auto"/>
              <w:rPr>
                <w:bCs/>
                <w:sz w:val="22"/>
                <w:szCs w:val="22"/>
              </w:rPr>
            </w:pPr>
          </w:p>
        </w:tc>
        <w:tc>
          <w:tcPr>
            <w:tcW w:w="1007" w:type="dxa"/>
            <w:tcBorders>
              <w:top w:val="nil"/>
              <w:left w:val="nil"/>
              <w:bottom w:val="single" w:sz="4" w:space="0" w:color="auto"/>
              <w:right w:val="nil"/>
            </w:tcBorders>
            <w:noWrap/>
            <w:tcMar>
              <w:top w:w="15" w:type="dxa"/>
              <w:left w:w="15" w:type="dxa"/>
              <w:bottom w:w="0" w:type="dxa"/>
              <w:right w:w="15" w:type="dxa"/>
            </w:tcMar>
            <w:vAlign w:val="bottom"/>
            <w:hideMark/>
          </w:tcPr>
          <w:p w14:paraId="49960339" w14:textId="77777777" w:rsidR="0069677A" w:rsidRDefault="0069677A">
            <w:pPr>
              <w:spacing w:line="256" w:lineRule="auto"/>
              <w:jc w:val="right"/>
              <w:rPr>
                <w:b/>
                <w:sz w:val="22"/>
                <w:szCs w:val="22"/>
              </w:rPr>
            </w:pPr>
            <w:r>
              <w:rPr>
                <w:b/>
                <w:sz w:val="22"/>
                <w:szCs w:val="22"/>
              </w:rPr>
              <w:t>(378)</w:t>
            </w:r>
          </w:p>
        </w:tc>
        <w:tc>
          <w:tcPr>
            <w:tcW w:w="1104" w:type="dxa"/>
            <w:tcBorders>
              <w:top w:val="nil"/>
              <w:left w:val="nil"/>
              <w:bottom w:val="single" w:sz="4" w:space="0" w:color="auto"/>
              <w:right w:val="nil"/>
            </w:tcBorders>
            <w:noWrap/>
            <w:tcMar>
              <w:top w:w="15" w:type="dxa"/>
              <w:left w:w="15" w:type="dxa"/>
              <w:bottom w:w="0" w:type="dxa"/>
              <w:right w:w="15" w:type="dxa"/>
            </w:tcMar>
            <w:vAlign w:val="bottom"/>
            <w:hideMark/>
          </w:tcPr>
          <w:p w14:paraId="1B067973" w14:textId="77777777" w:rsidR="0069677A" w:rsidRDefault="0069677A">
            <w:pPr>
              <w:spacing w:line="256" w:lineRule="auto"/>
              <w:jc w:val="right"/>
              <w:rPr>
                <w:sz w:val="22"/>
                <w:szCs w:val="22"/>
              </w:rPr>
            </w:pPr>
            <w:r>
              <w:rPr>
                <w:sz w:val="22"/>
                <w:szCs w:val="22"/>
              </w:rPr>
              <w:t>(410)</w:t>
            </w:r>
          </w:p>
        </w:tc>
      </w:tr>
      <w:tr w:rsidR="0069677A" w14:paraId="5D50B476" w14:textId="77777777" w:rsidTr="0069677A">
        <w:trPr>
          <w:trHeight w:val="255"/>
        </w:trPr>
        <w:tc>
          <w:tcPr>
            <w:tcW w:w="5387" w:type="dxa"/>
            <w:noWrap/>
            <w:tcMar>
              <w:top w:w="15" w:type="dxa"/>
              <w:left w:w="15" w:type="dxa"/>
              <w:bottom w:w="0" w:type="dxa"/>
              <w:right w:w="15" w:type="dxa"/>
            </w:tcMar>
            <w:vAlign w:val="bottom"/>
            <w:hideMark/>
          </w:tcPr>
          <w:p w14:paraId="30E254DC" w14:textId="77777777" w:rsidR="0069677A" w:rsidRDefault="0069677A">
            <w:pPr>
              <w:spacing w:line="256" w:lineRule="auto"/>
              <w:rPr>
                <w:bCs/>
                <w:sz w:val="22"/>
                <w:szCs w:val="22"/>
              </w:rPr>
            </w:pPr>
            <w:r>
              <w:rPr>
                <w:b/>
                <w:bCs/>
                <w:sz w:val="22"/>
                <w:szCs w:val="22"/>
              </w:rPr>
              <w:t>Net cash outflow from financing activities</w:t>
            </w:r>
          </w:p>
        </w:tc>
        <w:tc>
          <w:tcPr>
            <w:tcW w:w="992" w:type="dxa"/>
          </w:tcPr>
          <w:p w14:paraId="75DE3FA7" w14:textId="77777777" w:rsidR="0069677A" w:rsidRDefault="0069677A">
            <w:pPr>
              <w:spacing w:line="256" w:lineRule="auto"/>
              <w:rPr>
                <w:bCs/>
                <w:sz w:val="22"/>
                <w:szCs w:val="22"/>
              </w:rPr>
            </w:pPr>
          </w:p>
        </w:tc>
        <w:tc>
          <w:tcPr>
            <w:tcW w:w="1007"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14:paraId="6A3CF1A9" w14:textId="77777777" w:rsidR="0069677A" w:rsidRDefault="0069677A">
            <w:pPr>
              <w:spacing w:line="256" w:lineRule="auto"/>
              <w:jc w:val="right"/>
              <w:rPr>
                <w:b/>
                <w:sz w:val="22"/>
                <w:szCs w:val="22"/>
              </w:rPr>
            </w:pPr>
            <w:r>
              <w:rPr>
                <w:b/>
                <w:sz w:val="22"/>
                <w:szCs w:val="22"/>
              </w:rPr>
              <w:t>(491)</w:t>
            </w:r>
          </w:p>
        </w:tc>
        <w:tc>
          <w:tcPr>
            <w:tcW w:w="1104"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14:paraId="3F0FD44F" w14:textId="77777777" w:rsidR="0069677A" w:rsidRDefault="0069677A">
            <w:pPr>
              <w:spacing w:line="256" w:lineRule="auto"/>
              <w:jc w:val="right"/>
              <w:rPr>
                <w:sz w:val="22"/>
                <w:szCs w:val="22"/>
              </w:rPr>
            </w:pPr>
            <w:r>
              <w:rPr>
                <w:sz w:val="22"/>
                <w:szCs w:val="22"/>
              </w:rPr>
              <w:t>(1,769)</w:t>
            </w:r>
          </w:p>
        </w:tc>
      </w:tr>
      <w:tr w:rsidR="0069677A" w14:paraId="7D0E2E01" w14:textId="77777777" w:rsidTr="0069677A">
        <w:trPr>
          <w:trHeight w:val="255"/>
        </w:trPr>
        <w:tc>
          <w:tcPr>
            <w:tcW w:w="5387" w:type="dxa"/>
            <w:noWrap/>
            <w:tcMar>
              <w:top w:w="15" w:type="dxa"/>
              <w:left w:w="15" w:type="dxa"/>
              <w:bottom w:w="0" w:type="dxa"/>
              <w:right w:w="15" w:type="dxa"/>
            </w:tcMar>
            <w:vAlign w:val="bottom"/>
          </w:tcPr>
          <w:p w14:paraId="7C2803EE" w14:textId="77777777" w:rsidR="0069677A" w:rsidRDefault="0069677A">
            <w:pPr>
              <w:spacing w:line="256" w:lineRule="auto"/>
              <w:rPr>
                <w:b/>
                <w:bCs/>
                <w:sz w:val="22"/>
                <w:szCs w:val="22"/>
              </w:rPr>
            </w:pPr>
          </w:p>
        </w:tc>
        <w:tc>
          <w:tcPr>
            <w:tcW w:w="992" w:type="dxa"/>
          </w:tcPr>
          <w:p w14:paraId="262BC556" w14:textId="77777777" w:rsidR="0069677A" w:rsidRDefault="0069677A">
            <w:pPr>
              <w:spacing w:line="256" w:lineRule="auto"/>
              <w:rPr>
                <w:bCs/>
                <w:sz w:val="22"/>
                <w:szCs w:val="22"/>
              </w:rPr>
            </w:pPr>
          </w:p>
        </w:tc>
        <w:tc>
          <w:tcPr>
            <w:tcW w:w="1007"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783E4217" w14:textId="77777777" w:rsidR="0069677A" w:rsidRDefault="0069677A">
            <w:pPr>
              <w:spacing w:line="256" w:lineRule="auto"/>
              <w:jc w:val="right"/>
              <w:rPr>
                <w:b/>
                <w:sz w:val="22"/>
                <w:szCs w:val="22"/>
              </w:rPr>
            </w:pPr>
          </w:p>
        </w:tc>
        <w:tc>
          <w:tcPr>
            <w:tcW w:w="1104"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077A61FF" w14:textId="77777777" w:rsidR="0069677A" w:rsidRDefault="0069677A">
            <w:pPr>
              <w:spacing w:line="256" w:lineRule="auto"/>
              <w:jc w:val="right"/>
              <w:rPr>
                <w:sz w:val="22"/>
                <w:szCs w:val="22"/>
              </w:rPr>
            </w:pPr>
          </w:p>
        </w:tc>
      </w:tr>
      <w:tr w:rsidR="0069677A" w14:paraId="063E22A7" w14:textId="77777777" w:rsidTr="0069677A">
        <w:trPr>
          <w:trHeight w:val="255"/>
        </w:trPr>
        <w:tc>
          <w:tcPr>
            <w:tcW w:w="5387" w:type="dxa"/>
            <w:noWrap/>
            <w:tcMar>
              <w:top w:w="15" w:type="dxa"/>
              <w:left w:w="15" w:type="dxa"/>
              <w:bottom w:w="0" w:type="dxa"/>
              <w:right w:w="15" w:type="dxa"/>
            </w:tcMar>
            <w:vAlign w:val="bottom"/>
            <w:hideMark/>
          </w:tcPr>
          <w:p w14:paraId="2407C950" w14:textId="77777777" w:rsidR="0069677A" w:rsidRDefault="0069677A">
            <w:pPr>
              <w:spacing w:line="256" w:lineRule="auto"/>
              <w:rPr>
                <w:b/>
                <w:bCs/>
                <w:sz w:val="22"/>
                <w:szCs w:val="22"/>
              </w:rPr>
            </w:pPr>
            <w:r>
              <w:rPr>
                <w:b/>
                <w:bCs/>
                <w:sz w:val="22"/>
                <w:szCs w:val="22"/>
              </w:rPr>
              <w:t xml:space="preserve">Net increase/(decrease) in cash and cash equivalents </w:t>
            </w:r>
          </w:p>
        </w:tc>
        <w:tc>
          <w:tcPr>
            <w:tcW w:w="992" w:type="dxa"/>
          </w:tcPr>
          <w:p w14:paraId="59C2B9BC" w14:textId="77777777" w:rsidR="0069677A" w:rsidRDefault="0069677A">
            <w:pPr>
              <w:spacing w:line="256" w:lineRule="auto"/>
              <w:rPr>
                <w:bCs/>
                <w:sz w:val="22"/>
                <w:szCs w:val="22"/>
              </w:rPr>
            </w:pPr>
          </w:p>
        </w:tc>
        <w:tc>
          <w:tcPr>
            <w:tcW w:w="1007"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14:paraId="1E5C3991" w14:textId="77777777" w:rsidR="0069677A" w:rsidRDefault="0069677A">
            <w:pPr>
              <w:spacing w:line="256" w:lineRule="auto"/>
              <w:jc w:val="right"/>
              <w:rPr>
                <w:b/>
                <w:sz w:val="22"/>
                <w:szCs w:val="22"/>
              </w:rPr>
            </w:pPr>
            <w:r>
              <w:rPr>
                <w:b/>
                <w:sz w:val="22"/>
                <w:szCs w:val="22"/>
              </w:rPr>
              <w:t>496</w:t>
            </w:r>
          </w:p>
        </w:tc>
        <w:tc>
          <w:tcPr>
            <w:tcW w:w="1104"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14:paraId="5319221A" w14:textId="77777777" w:rsidR="0069677A" w:rsidRDefault="0069677A">
            <w:pPr>
              <w:spacing w:line="256" w:lineRule="auto"/>
              <w:jc w:val="right"/>
              <w:rPr>
                <w:sz w:val="22"/>
                <w:szCs w:val="22"/>
              </w:rPr>
            </w:pPr>
            <w:r>
              <w:rPr>
                <w:sz w:val="22"/>
                <w:szCs w:val="22"/>
              </w:rPr>
              <w:t>(489)</w:t>
            </w:r>
          </w:p>
        </w:tc>
      </w:tr>
      <w:tr w:rsidR="0069677A" w14:paraId="247DA3AF" w14:textId="77777777" w:rsidTr="0069677A">
        <w:trPr>
          <w:trHeight w:val="255"/>
        </w:trPr>
        <w:tc>
          <w:tcPr>
            <w:tcW w:w="5387" w:type="dxa"/>
            <w:noWrap/>
            <w:tcMar>
              <w:top w:w="15" w:type="dxa"/>
              <w:left w:w="15" w:type="dxa"/>
              <w:bottom w:w="0" w:type="dxa"/>
              <w:right w:w="15" w:type="dxa"/>
            </w:tcMar>
            <w:vAlign w:val="bottom"/>
          </w:tcPr>
          <w:p w14:paraId="18C42707" w14:textId="77777777" w:rsidR="0069677A" w:rsidRDefault="0069677A">
            <w:pPr>
              <w:spacing w:line="256" w:lineRule="auto"/>
              <w:rPr>
                <w:sz w:val="22"/>
                <w:szCs w:val="22"/>
              </w:rPr>
            </w:pPr>
          </w:p>
          <w:p w14:paraId="381A0086" w14:textId="77777777" w:rsidR="0069677A" w:rsidRDefault="0069677A">
            <w:pPr>
              <w:spacing w:line="256" w:lineRule="auto"/>
              <w:rPr>
                <w:sz w:val="22"/>
                <w:szCs w:val="22"/>
              </w:rPr>
            </w:pPr>
            <w:r>
              <w:rPr>
                <w:sz w:val="22"/>
                <w:szCs w:val="22"/>
              </w:rPr>
              <w:t xml:space="preserve">Cash and cash equivalents beginning of the financial year </w:t>
            </w:r>
          </w:p>
        </w:tc>
        <w:tc>
          <w:tcPr>
            <w:tcW w:w="992" w:type="dxa"/>
          </w:tcPr>
          <w:p w14:paraId="5892EB5F" w14:textId="77777777" w:rsidR="0069677A" w:rsidRDefault="0069677A">
            <w:pPr>
              <w:spacing w:line="256" w:lineRule="auto"/>
              <w:rPr>
                <w:bCs/>
                <w:sz w:val="22"/>
                <w:szCs w:val="22"/>
              </w:rPr>
            </w:pPr>
          </w:p>
        </w:tc>
        <w:tc>
          <w:tcPr>
            <w:tcW w:w="1007" w:type="dxa"/>
            <w:noWrap/>
            <w:tcMar>
              <w:top w:w="15" w:type="dxa"/>
              <w:left w:w="15" w:type="dxa"/>
              <w:bottom w:w="0" w:type="dxa"/>
              <w:right w:w="15" w:type="dxa"/>
            </w:tcMar>
            <w:vAlign w:val="bottom"/>
            <w:hideMark/>
          </w:tcPr>
          <w:p w14:paraId="175C7B6C" w14:textId="77777777" w:rsidR="0069677A" w:rsidRDefault="0069677A">
            <w:pPr>
              <w:spacing w:line="256" w:lineRule="auto"/>
              <w:jc w:val="right"/>
              <w:rPr>
                <w:b/>
                <w:sz w:val="22"/>
                <w:szCs w:val="22"/>
              </w:rPr>
            </w:pPr>
            <w:r>
              <w:rPr>
                <w:b/>
                <w:sz w:val="22"/>
                <w:szCs w:val="22"/>
              </w:rPr>
              <w:t>1,054</w:t>
            </w:r>
          </w:p>
        </w:tc>
        <w:tc>
          <w:tcPr>
            <w:tcW w:w="1104" w:type="dxa"/>
            <w:noWrap/>
            <w:tcMar>
              <w:top w:w="15" w:type="dxa"/>
              <w:left w:w="15" w:type="dxa"/>
              <w:bottom w:w="0" w:type="dxa"/>
              <w:right w:w="15" w:type="dxa"/>
            </w:tcMar>
            <w:vAlign w:val="bottom"/>
            <w:hideMark/>
          </w:tcPr>
          <w:p w14:paraId="51F7A4E4" w14:textId="77777777" w:rsidR="0069677A" w:rsidRDefault="0069677A">
            <w:pPr>
              <w:spacing w:line="256" w:lineRule="auto"/>
              <w:jc w:val="right"/>
              <w:rPr>
                <w:sz w:val="22"/>
                <w:szCs w:val="22"/>
              </w:rPr>
            </w:pPr>
            <w:r>
              <w:rPr>
                <w:sz w:val="22"/>
                <w:szCs w:val="22"/>
              </w:rPr>
              <w:t>1,543</w:t>
            </w:r>
          </w:p>
        </w:tc>
      </w:tr>
      <w:tr w:rsidR="0069677A" w14:paraId="2724C2DC" w14:textId="77777777" w:rsidTr="0069677A">
        <w:trPr>
          <w:trHeight w:val="255"/>
        </w:trPr>
        <w:tc>
          <w:tcPr>
            <w:tcW w:w="5387" w:type="dxa"/>
            <w:noWrap/>
            <w:tcMar>
              <w:top w:w="15" w:type="dxa"/>
              <w:left w:w="15" w:type="dxa"/>
              <w:bottom w:w="0" w:type="dxa"/>
              <w:right w:w="15" w:type="dxa"/>
            </w:tcMar>
            <w:vAlign w:val="bottom"/>
          </w:tcPr>
          <w:p w14:paraId="02FD36C9" w14:textId="77777777" w:rsidR="0069677A" w:rsidRDefault="0069677A">
            <w:pPr>
              <w:spacing w:line="256" w:lineRule="auto"/>
              <w:rPr>
                <w:sz w:val="22"/>
                <w:szCs w:val="22"/>
              </w:rPr>
            </w:pPr>
          </w:p>
        </w:tc>
        <w:tc>
          <w:tcPr>
            <w:tcW w:w="992" w:type="dxa"/>
          </w:tcPr>
          <w:p w14:paraId="472B7810" w14:textId="77777777" w:rsidR="0069677A" w:rsidRDefault="0069677A">
            <w:pPr>
              <w:spacing w:line="256" w:lineRule="auto"/>
              <w:rPr>
                <w:bCs/>
                <w:sz w:val="22"/>
                <w:szCs w:val="22"/>
              </w:rPr>
            </w:pPr>
          </w:p>
        </w:tc>
        <w:tc>
          <w:tcPr>
            <w:tcW w:w="1007" w:type="dxa"/>
            <w:tcBorders>
              <w:top w:val="nil"/>
              <w:left w:val="nil"/>
              <w:bottom w:val="single" w:sz="4" w:space="0" w:color="auto"/>
              <w:right w:val="nil"/>
            </w:tcBorders>
            <w:noWrap/>
            <w:tcMar>
              <w:top w:w="15" w:type="dxa"/>
              <w:left w:w="15" w:type="dxa"/>
              <w:bottom w:w="0" w:type="dxa"/>
              <w:right w:w="15" w:type="dxa"/>
            </w:tcMar>
            <w:vAlign w:val="bottom"/>
          </w:tcPr>
          <w:p w14:paraId="69A9DCBF" w14:textId="77777777" w:rsidR="0069677A" w:rsidRDefault="0069677A">
            <w:pPr>
              <w:spacing w:line="256" w:lineRule="auto"/>
              <w:jc w:val="right"/>
              <w:rPr>
                <w:b/>
                <w:sz w:val="22"/>
                <w:szCs w:val="22"/>
              </w:rPr>
            </w:pPr>
          </w:p>
        </w:tc>
        <w:tc>
          <w:tcPr>
            <w:tcW w:w="1104" w:type="dxa"/>
            <w:tcBorders>
              <w:top w:val="nil"/>
              <w:left w:val="nil"/>
              <w:bottom w:val="single" w:sz="4" w:space="0" w:color="auto"/>
              <w:right w:val="nil"/>
            </w:tcBorders>
            <w:noWrap/>
            <w:tcMar>
              <w:top w:w="15" w:type="dxa"/>
              <w:left w:w="15" w:type="dxa"/>
              <w:bottom w:w="0" w:type="dxa"/>
              <w:right w:w="15" w:type="dxa"/>
            </w:tcMar>
            <w:vAlign w:val="bottom"/>
          </w:tcPr>
          <w:p w14:paraId="3486818D" w14:textId="77777777" w:rsidR="0069677A" w:rsidRDefault="0069677A">
            <w:pPr>
              <w:spacing w:line="256" w:lineRule="auto"/>
              <w:jc w:val="right"/>
              <w:rPr>
                <w:sz w:val="22"/>
                <w:szCs w:val="22"/>
              </w:rPr>
            </w:pPr>
          </w:p>
        </w:tc>
      </w:tr>
      <w:tr w:rsidR="0069677A" w14:paraId="0AF7C54C" w14:textId="77777777" w:rsidTr="0069677A">
        <w:trPr>
          <w:trHeight w:val="255"/>
        </w:trPr>
        <w:tc>
          <w:tcPr>
            <w:tcW w:w="5387" w:type="dxa"/>
            <w:noWrap/>
            <w:tcMar>
              <w:top w:w="15" w:type="dxa"/>
              <w:left w:w="15" w:type="dxa"/>
              <w:bottom w:w="0" w:type="dxa"/>
              <w:right w:w="15" w:type="dxa"/>
            </w:tcMar>
            <w:vAlign w:val="bottom"/>
            <w:hideMark/>
          </w:tcPr>
          <w:p w14:paraId="48543415" w14:textId="77777777" w:rsidR="0069677A" w:rsidRDefault="0069677A">
            <w:pPr>
              <w:spacing w:line="256" w:lineRule="auto"/>
              <w:rPr>
                <w:sz w:val="22"/>
                <w:szCs w:val="22"/>
              </w:rPr>
            </w:pPr>
            <w:r>
              <w:rPr>
                <w:sz w:val="22"/>
                <w:szCs w:val="22"/>
              </w:rPr>
              <w:t>Cash and cash equivalents end of the financial year</w:t>
            </w:r>
          </w:p>
        </w:tc>
        <w:tc>
          <w:tcPr>
            <w:tcW w:w="992" w:type="dxa"/>
          </w:tcPr>
          <w:p w14:paraId="615EF260" w14:textId="77777777" w:rsidR="0069677A" w:rsidRDefault="0069677A">
            <w:pPr>
              <w:spacing w:line="256" w:lineRule="auto"/>
              <w:rPr>
                <w:sz w:val="22"/>
                <w:szCs w:val="22"/>
              </w:rPr>
            </w:pPr>
          </w:p>
        </w:tc>
        <w:tc>
          <w:tcPr>
            <w:tcW w:w="1007"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14:paraId="12854A88" w14:textId="77777777" w:rsidR="0069677A" w:rsidRDefault="0069677A">
            <w:pPr>
              <w:spacing w:line="256" w:lineRule="auto"/>
              <w:jc w:val="right"/>
              <w:rPr>
                <w:b/>
                <w:sz w:val="22"/>
                <w:szCs w:val="22"/>
              </w:rPr>
            </w:pPr>
            <w:r>
              <w:rPr>
                <w:b/>
                <w:sz w:val="22"/>
                <w:szCs w:val="22"/>
              </w:rPr>
              <w:t>1,550</w:t>
            </w:r>
          </w:p>
        </w:tc>
        <w:tc>
          <w:tcPr>
            <w:tcW w:w="1104" w:type="dxa"/>
            <w:tcBorders>
              <w:top w:val="single" w:sz="4" w:space="0" w:color="auto"/>
              <w:left w:val="nil"/>
              <w:bottom w:val="single" w:sz="4" w:space="0" w:color="auto"/>
              <w:right w:val="nil"/>
            </w:tcBorders>
            <w:noWrap/>
            <w:tcMar>
              <w:top w:w="15" w:type="dxa"/>
              <w:left w:w="15" w:type="dxa"/>
              <w:bottom w:w="0" w:type="dxa"/>
              <w:right w:w="15" w:type="dxa"/>
            </w:tcMar>
            <w:vAlign w:val="bottom"/>
            <w:hideMark/>
          </w:tcPr>
          <w:p w14:paraId="1E890E56" w14:textId="77777777" w:rsidR="0069677A" w:rsidRDefault="0069677A">
            <w:pPr>
              <w:spacing w:line="256" w:lineRule="auto"/>
              <w:jc w:val="right"/>
              <w:rPr>
                <w:sz w:val="22"/>
                <w:szCs w:val="22"/>
              </w:rPr>
            </w:pPr>
            <w:r>
              <w:rPr>
                <w:sz w:val="22"/>
                <w:szCs w:val="22"/>
              </w:rPr>
              <w:t>1,054</w:t>
            </w:r>
          </w:p>
        </w:tc>
        <w:bookmarkEnd w:id="12"/>
      </w:tr>
    </w:tbl>
    <w:p w14:paraId="08869908" w14:textId="77777777" w:rsidR="0069677A" w:rsidRDefault="0069677A" w:rsidP="0069677A"/>
    <w:sectPr w:rsidR="0069677A">
      <w:footerReference w:type="even"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7F6B0" w14:textId="77777777" w:rsidR="00C54B29" w:rsidRDefault="00C54B29" w:rsidP="00545189">
      <w:r>
        <w:separator/>
      </w:r>
    </w:p>
  </w:endnote>
  <w:endnote w:type="continuationSeparator" w:id="0">
    <w:p w14:paraId="58C9DBE8" w14:textId="77777777" w:rsidR="00C54B29" w:rsidRDefault="00C54B29" w:rsidP="00545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9302B" w14:textId="3507731F" w:rsidR="00C54B29" w:rsidRDefault="00C54B29">
    <w:pPr>
      <w:pStyle w:val="Footer"/>
    </w:pPr>
  </w:p>
  <w:p w14:paraId="79D8462C" w14:textId="5344210E" w:rsidR="00015444" w:rsidRDefault="001C0199" w:rsidP="00015444">
    <w:pPr>
      <w:pStyle w:val="Footer"/>
      <w:jc w:val="right"/>
    </w:pPr>
    <w:fldSimple w:instr=" DOCPROPERTY &quot;IWFooter&quot;  \* MERGEFORMAT ">
      <w:r w:rsidR="00015444" w:rsidRPr="00015444">
        <w:rPr>
          <w:sz w:val="16"/>
        </w:rPr>
        <w:t>MHC-24659428-1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0DF3E" w14:textId="6B97D0A6" w:rsidR="00C54B29" w:rsidRDefault="00C54B29">
    <w:pPr>
      <w:pStyle w:val="Footer"/>
    </w:pPr>
  </w:p>
  <w:p w14:paraId="3A2C602C" w14:textId="5F756097" w:rsidR="00015444" w:rsidRDefault="001C0199" w:rsidP="00015444">
    <w:pPr>
      <w:pStyle w:val="Footer"/>
      <w:jc w:val="right"/>
    </w:pPr>
    <w:fldSimple w:instr=" DOCPROPERTY &quot;IWFooter&quot;  \* MERGEFORMAT ">
      <w:r w:rsidR="00015444" w:rsidRPr="00015444">
        <w:rPr>
          <w:sz w:val="16"/>
        </w:rPr>
        <w:t>MHC-24659428-1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86A6B" w14:textId="77777777" w:rsidR="00C54B29" w:rsidRDefault="00C54B29" w:rsidP="00545189">
      <w:r>
        <w:separator/>
      </w:r>
    </w:p>
  </w:footnote>
  <w:footnote w:type="continuationSeparator" w:id="0">
    <w:p w14:paraId="78D881EF" w14:textId="77777777" w:rsidR="00C54B29" w:rsidRDefault="00C54B29" w:rsidP="00545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9BE865E"/>
    <w:lvl w:ilvl="0">
      <w:numFmt w:val="decimal"/>
      <w:lvlText w:val="*"/>
      <w:lvlJc w:val="left"/>
    </w:lvl>
  </w:abstractNum>
  <w:abstractNum w:abstractNumId="1" w15:restartNumberingAfterBreak="0">
    <w:nsid w:val="077B2F22"/>
    <w:multiLevelType w:val="hybridMultilevel"/>
    <w:tmpl w:val="E24656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974681"/>
    <w:multiLevelType w:val="hybridMultilevel"/>
    <w:tmpl w:val="F0CE93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429BD"/>
    <w:multiLevelType w:val="hybridMultilevel"/>
    <w:tmpl w:val="049C41B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5C02439"/>
    <w:multiLevelType w:val="hybridMultilevel"/>
    <w:tmpl w:val="C0D687D2"/>
    <w:lvl w:ilvl="0" w:tplc="16DC641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CE14F8"/>
    <w:multiLevelType w:val="hybridMultilevel"/>
    <w:tmpl w:val="6372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D57E03"/>
    <w:multiLevelType w:val="hybridMultilevel"/>
    <w:tmpl w:val="1B8657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DA0033"/>
    <w:multiLevelType w:val="hybridMultilevel"/>
    <w:tmpl w:val="1DDE5916"/>
    <w:lvl w:ilvl="0" w:tplc="1534F210">
      <w:start w:val="1"/>
      <w:numFmt w:val="lowerLetter"/>
      <w:lvlText w:val="%1."/>
      <w:lvlJc w:val="left"/>
      <w:pPr>
        <w:ind w:left="360" w:hanging="360"/>
      </w:pPr>
      <w:rPr>
        <w:rFonts w:ascii="Garamond" w:hAnsi="Garamond" w:hint="default"/>
        <w:i/>
        <w:color w:val="7030A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89E7E07"/>
    <w:multiLevelType w:val="hybridMultilevel"/>
    <w:tmpl w:val="42B6A69A"/>
    <w:lvl w:ilvl="0" w:tplc="75F6DE5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B7552BB"/>
    <w:multiLevelType w:val="hybridMultilevel"/>
    <w:tmpl w:val="797E6800"/>
    <w:lvl w:ilvl="0" w:tplc="E3AE26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9D0898"/>
    <w:multiLevelType w:val="hybridMultilevel"/>
    <w:tmpl w:val="9E0A8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4E0E48"/>
    <w:multiLevelType w:val="hybridMultilevel"/>
    <w:tmpl w:val="30A23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12015E"/>
    <w:multiLevelType w:val="hybridMultilevel"/>
    <w:tmpl w:val="21F87D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0AA5766"/>
    <w:multiLevelType w:val="hybridMultilevel"/>
    <w:tmpl w:val="6DD4D6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4C970FA"/>
    <w:multiLevelType w:val="hybridMultilevel"/>
    <w:tmpl w:val="11F06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3D44C7"/>
    <w:multiLevelType w:val="hybridMultilevel"/>
    <w:tmpl w:val="8E20E4A8"/>
    <w:lvl w:ilvl="0" w:tplc="33B404C6">
      <w:start w:val="1"/>
      <w:numFmt w:val="lowerLetter"/>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593051"/>
    <w:multiLevelType w:val="hybridMultilevel"/>
    <w:tmpl w:val="7B4A46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2151DC7"/>
    <w:multiLevelType w:val="hybridMultilevel"/>
    <w:tmpl w:val="DF5C53EA"/>
    <w:lvl w:ilvl="0" w:tplc="7E5C2004">
      <w:start w:val="1"/>
      <w:numFmt w:val="bullet"/>
      <w:pStyle w:val="Bullet"/>
      <w:lvlText w:val=""/>
      <w:lvlJc w:val="left"/>
      <w:pPr>
        <w:tabs>
          <w:tab w:val="num" w:pos="360"/>
        </w:tabs>
        <w:ind w:left="360" w:hanging="360"/>
      </w:pPr>
      <w:rPr>
        <w:rFonts w:ascii="Symbol" w:hAnsi="Symbol" w:hint="default"/>
      </w:rPr>
    </w:lvl>
    <w:lvl w:ilvl="1" w:tplc="DAE07E7A">
      <w:start w:val="1"/>
      <w:numFmt w:val="bullet"/>
      <w:lvlText w:val=""/>
      <w:lvlJc w:val="left"/>
      <w:pPr>
        <w:tabs>
          <w:tab w:val="num" w:pos="340"/>
        </w:tabs>
        <w:ind w:left="340" w:hanging="340"/>
      </w:pPr>
      <w:rPr>
        <w:rFonts w:ascii="Symbol" w:hAnsi="Symbol" w:hint="default"/>
        <w:color w:val="auto"/>
        <w:sz w:val="22"/>
      </w:rPr>
    </w:lvl>
    <w:lvl w:ilvl="2" w:tplc="154A2A2A">
      <w:start w:val="1"/>
      <w:numFmt w:val="bullet"/>
      <w:lvlText w:val=""/>
      <w:lvlJc w:val="left"/>
      <w:pPr>
        <w:tabs>
          <w:tab w:val="num" w:pos="340"/>
        </w:tabs>
        <w:ind w:left="340" w:hanging="340"/>
      </w:pPr>
      <w:rPr>
        <w:rFonts w:ascii="Symbol" w:hAnsi="Symbol" w:hint="default"/>
        <w:color w:val="auto"/>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720C2E"/>
    <w:multiLevelType w:val="hybridMultilevel"/>
    <w:tmpl w:val="DC80B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3440F5"/>
    <w:multiLevelType w:val="hybridMultilevel"/>
    <w:tmpl w:val="95BCD9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6BC64DD2"/>
    <w:multiLevelType w:val="hybridMultilevel"/>
    <w:tmpl w:val="64766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C70FAC"/>
    <w:multiLevelType w:val="hybridMultilevel"/>
    <w:tmpl w:val="B8E83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CF3061"/>
    <w:multiLevelType w:val="hybridMultilevel"/>
    <w:tmpl w:val="5C742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A256C6"/>
    <w:multiLevelType w:val="hybridMultilevel"/>
    <w:tmpl w:val="7AB609DA"/>
    <w:lvl w:ilvl="0" w:tplc="2B4C45EA">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40"/>
        <w:lvlJc w:val="left"/>
        <w:pPr>
          <w:ind w:left="340" w:hanging="340"/>
        </w:pPr>
        <w:rPr>
          <w:rFonts w:ascii="Wingdings" w:hAnsi="Wingdings" w:hint="default"/>
          <w:sz w:val="18"/>
        </w:rPr>
      </w:lvl>
    </w:lvlOverride>
  </w:num>
  <w:num w:numId="3">
    <w:abstractNumId w:val="17"/>
  </w:num>
  <w:num w:numId="4">
    <w:abstractNumId w:val="6"/>
  </w:num>
  <w:num w:numId="5">
    <w:abstractNumId w:val="9"/>
  </w:num>
  <w:num w:numId="6">
    <w:abstractNumId w:val="12"/>
  </w:num>
  <w:num w:numId="7">
    <w:abstractNumId w:val="1"/>
  </w:num>
  <w:num w:numId="8">
    <w:abstractNumId w:val="3"/>
  </w:num>
  <w:num w:numId="9">
    <w:abstractNumId w:val="19"/>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3"/>
  </w:num>
  <w:num w:numId="13">
    <w:abstractNumId w:val="4"/>
  </w:num>
  <w:num w:numId="14">
    <w:abstractNumId w:val="7"/>
  </w:num>
  <w:num w:numId="15">
    <w:abstractNumId w:val="16"/>
  </w:num>
  <w:num w:numId="16">
    <w:abstractNumId w:val="5"/>
  </w:num>
  <w:num w:numId="17">
    <w:abstractNumId w:val="2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1"/>
  </w:num>
  <w:num w:numId="21">
    <w:abstractNumId w:val="23"/>
  </w:num>
  <w:num w:numId="22">
    <w:abstractNumId w:val="8"/>
  </w:num>
  <w:num w:numId="23">
    <w:abstractNumId w:val="10"/>
  </w:num>
  <w:num w:numId="24">
    <w:abstractNumId w:val="18"/>
  </w:num>
  <w:num w:numId="25">
    <w:abstractNumId w:val="2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318"/>
    <w:rsid w:val="00015444"/>
    <w:rsid w:val="00043541"/>
    <w:rsid w:val="000A2FDA"/>
    <w:rsid w:val="001112A7"/>
    <w:rsid w:val="0015298E"/>
    <w:rsid w:val="0019363A"/>
    <w:rsid w:val="0019411F"/>
    <w:rsid w:val="001C0199"/>
    <w:rsid w:val="001E335B"/>
    <w:rsid w:val="00200415"/>
    <w:rsid w:val="0025189B"/>
    <w:rsid w:val="002F43AA"/>
    <w:rsid w:val="00300FFA"/>
    <w:rsid w:val="00333388"/>
    <w:rsid w:val="0036677C"/>
    <w:rsid w:val="003C674D"/>
    <w:rsid w:val="003E74CD"/>
    <w:rsid w:val="004A4AA7"/>
    <w:rsid w:val="004D7237"/>
    <w:rsid w:val="0052419E"/>
    <w:rsid w:val="00545189"/>
    <w:rsid w:val="00571612"/>
    <w:rsid w:val="00575BB2"/>
    <w:rsid w:val="005C2199"/>
    <w:rsid w:val="005C3C52"/>
    <w:rsid w:val="00612FD2"/>
    <w:rsid w:val="006337D6"/>
    <w:rsid w:val="0063684B"/>
    <w:rsid w:val="0069677A"/>
    <w:rsid w:val="006A6BB6"/>
    <w:rsid w:val="00731921"/>
    <w:rsid w:val="00921DCA"/>
    <w:rsid w:val="00935C73"/>
    <w:rsid w:val="009974CC"/>
    <w:rsid w:val="009B5224"/>
    <w:rsid w:val="00A042D1"/>
    <w:rsid w:val="00A0572E"/>
    <w:rsid w:val="00A13160"/>
    <w:rsid w:val="00A14DFD"/>
    <w:rsid w:val="00A461A9"/>
    <w:rsid w:val="00A5306C"/>
    <w:rsid w:val="00A81FF9"/>
    <w:rsid w:val="00AF1E09"/>
    <w:rsid w:val="00B7276E"/>
    <w:rsid w:val="00BA60A7"/>
    <w:rsid w:val="00BD698A"/>
    <w:rsid w:val="00BF6318"/>
    <w:rsid w:val="00C03C31"/>
    <w:rsid w:val="00C132BC"/>
    <w:rsid w:val="00C25B3A"/>
    <w:rsid w:val="00C417B6"/>
    <w:rsid w:val="00C41D6F"/>
    <w:rsid w:val="00C54B29"/>
    <w:rsid w:val="00C94731"/>
    <w:rsid w:val="00CB3328"/>
    <w:rsid w:val="00CD6051"/>
    <w:rsid w:val="00CE16F7"/>
    <w:rsid w:val="00D7383B"/>
    <w:rsid w:val="00E0065F"/>
    <w:rsid w:val="00E12092"/>
    <w:rsid w:val="00E20FB2"/>
    <w:rsid w:val="00E57DB3"/>
    <w:rsid w:val="00E854D2"/>
    <w:rsid w:val="00F052CB"/>
    <w:rsid w:val="00F20E60"/>
    <w:rsid w:val="00F31724"/>
    <w:rsid w:val="00F7531A"/>
    <w:rsid w:val="00FF2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02836"/>
  <w15:docId w15:val="{FDD07786-E6F8-4E20-9FF2-D1481160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3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IE"/>
    </w:rPr>
  </w:style>
  <w:style w:type="paragraph" w:styleId="Heading1">
    <w:name w:val="heading 1"/>
    <w:basedOn w:val="HeadingBase"/>
    <w:next w:val="BodyText"/>
    <w:link w:val="Heading1Char"/>
    <w:qFormat/>
    <w:rsid w:val="00BF6318"/>
    <w:pPr>
      <w:widowControl w:val="0"/>
      <w:pBdr>
        <w:top w:val="single" w:sz="30" w:space="3" w:color="FFFFFF"/>
        <w:left w:val="single" w:sz="6" w:space="3" w:color="FFFFFF"/>
        <w:bottom w:val="single" w:sz="6" w:space="3" w:color="FFFFFF"/>
      </w:pBdr>
      <w:shd w:val="solid" w:color="auto" w:fill="auto"/>
      <w:spacing w:before="0" w:after="240" w:line="240" w:lineRule="atLeast"/>
      <w:ind w:left="120"/>
      <w:outlineLvl w:val="0"/>
    </w:pPr>
    <w:rPr>
      <w:rFonts w:ascii="Arial Black" w:hAnsi="Arial Black"/>
      <w:color w:val="FFFFFF"/>
      <w:spacing w:val="-10"/>
      <w:kern w:val="20"/>
      <w:position w:val="8"/>
      <w:sz w:val="24"/>
      <w:lang w:val="en-US"/>
    </w:rPr>
  </w:style>
  <w:style w:type="paragraph" w:styleId="Heading2">
    <w:name w:val="heading 2"/>
    <w:basedOn w:val="HeadingBase"/>
    <w:next w:val="BodyText"/>
    <w:link w:val="Heading2Char"/>
    <w:qFormat/>
    <w:rsid w:val="00BF6318"/>
    <w:pPr>
      <w:spacing w:before="0" w:after="240" w:line="240" w:lineRule="atLeast"/>
      <w:ind w:left="0"/>
      <w:outlineLvl w:val="1"/>
    </w:pPr>
    <w:rPr>
      <w:spacing w:val="-15"/>
    </w:rPr>
  </w:style>
  <w:style w:type="paragraph" w:styleId="Heading3">
    <w:name w:val="heading 3"/>
    <w:basedOn w:val="Normal"/>
    <w:next w:val="Normal"/>
    <w:link w:val="Heading3Char"/>
    <w:qFormat/>
    <w:rsid w:val="00BF6318"/>
    <w:pPr>
      <w:keepNext/>
      <w:widowControl w:val="0"/>
      <w:outlineLvl w:val="2"/>
    </w:pPr>
    <w:rPr>
      <w:b/>
      <w:lang w:val="en-US"/>
    </w:rPr>
  </w:style>
  <w:style w:type="paragraph" w:styleId="Heading4">
    <w:name w:val="heading 4"/>
    <w:basedOn w:val="Normal"/>
    <w:next w:val="Normal"/>
    <w:link w:val="Heading4Char"/>
    <w:uiPriority w:val="99"/>
    <w:qFormat/>
    <w:rsid w:val="00BF6318"/>
    <w:pPr>
      <w:keepNext/>
      <w:jc w:val="both"/>
      <w:outlineLvl w:val="3"/>
    </w:pPr>
    <w:rPr>
      <w:b/>
      <w:sz w:val="22"/>
    </w:rPr>
  </w:style>
  <w:style w:type="paragraph" w:styleId="Heading5">
    <w:name w:val="heading 5"/>
    <w:basedOn w:val="Normal"/>
    <w:next w:val="Normal"/>
    <w:link w:val="Heading5Char"/>
    <w:qFormat/>
    <w:rsid w:val="00BF6318"/>
    <w:pPr>
      <w:keepNext/>
      <w:outlineLvl w:val="4"/>
    </w:pPr>
    <w:rPr>
      <w:b/>
      <w:sz w:val="22"/>
    </w:rPr>
  </w:style>
  <w:style w:type="paragraph" w:styleId="Heading6">
    <w:name w:val="heading 6"/>
    <w:basedOn w:val="Normal"/>
    <w:next w:val="Normal"/>
    <w:link w:val="Heading6Char"/>
    <w:qFormat/>
    <w:rsid w:val="00BF6318"/>
    <w:pPr>
      <w:keepNext/>
      <w:tabs>
        <w:tab w:val="right" w:pos="4876"/>
        <w:tab w:val="right" w:pos="6236"/>
        <w:tab w:val="right" w:pos="7660"/>
        <w:tab w:val="right" w:pos="8940"/>
      </w:tabs>
      <w:jc w:val="center"/>
      <w:outlineLvl w:val="5"/>
    </w:pPr>
    <w:rPr>
      <w:b/>
      <w:sz w:val="22"/>
    </w:rPr>
  </w:style>
  <w:style w:type="paragraph" w:styleId="Heading7">
    <w:name w:val="heading 7"/>
    <w:basedOn w:val="Normal"/>
    <w:next w:val="Normal"/>
    <w:link w:val="Heading7Char"/>
    <w:qFormat/>
    <w:rsid w:val="00BF6318"/>
    <w:pPr>
      <w:keepNext/>
      <w:tabs>
        <w:tab w:val="right" w:pos="4876"/>
        <w:tab w:val="right" w:pos="6236"/>
        <w:tab w:val="right" w:pos="7660"/>
        <w:tab w:val="right" w:pos="8940"/>
      </w:tabs>
      <w:jc w:val="right"/>
      <w:outlineLvl w:val="6"/>
    </w:pPr>
    <w:rPr>
      <w:b/>
      <w:sz w:val="22"/>
    </w:rPr>
  </w:style>
  <w:style w:type="paragraph" w:styleId="Heading8">
    <w:name w:val="heading 8"/>
    <w:basedOn w:val="Normal"/>
    <w:next w:val="Normal"/>
    <w:link w:val="Heading8Char"/>
    <w:qFormat/>
    <w:rsid w:val="00BF6318"/>
    <w:pPr>
      <w:keepNext/>
      <w:outlineLvl w:val="7"/>
    </w:pPr>
    <w:rPr>
      <w:b/>
      <w:color w:val="000000"/>
      <w:sz w:val="22"/>
    </w:rPr>
  </w:style>
  <w:style w:type="paragraph" w:styleId="Heading9">
    <w:name w:val="heading 9"/>
    <w:basedOn w:val="Normal"/>
    <w:next w:val="Normal"/>
    <w:link w:val="Heading9Char"/>
    <w:qFormat/>
    <w:rsid w:val="00BF6318"/>
    <w:pPr>
      <w:keepNext/>
      <w:numPr>
        <w:ilvl w:val="12"/>
      </w:numP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BF631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F6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F6318"/>
    <w:rPr>
      <w:rFonts w:ascii="Arial Black" w:eastAsia="Times New Roman" w:hAnsi="Arial Black" w:cs="Times New Roman"/>
      <w:color w:val="FFFFFF"/>
      <w:spacing w:val="-10"/>
      <w:kern w:val="20"/>
      <w:position w:val="8"/>
      <w:sz w:val="24"/>
      <w:szCs w:val="20"/>
      <w:shd w:val="solid" w:color="auto" w:fill="auto"/>
      <w:lang w:val="en-US" w:eastAsia="en-IE"/>
    </w:rPr>
  </w:style>
  <w:style w:type="character" w:customStyle="1" w:styleId="Heading2Char">
    <w:name w:val="Heading 2 Char"/>
    <w:basedOn w:val="DefaultParagraphFont"/>
    <w:link w:val="Heading2"/>
    <w:rsid w:val="00BF6318"/>
    <w:rPr>
      <w:rFonts w:ascii="Helvetica" w:eastAsia="Times New Roman" w:hAnsi="Helvetica" w:cs="Times New Roman"/>
      <w:spacing w:val="-15"/>
      <w:szCs w:val="20"/>
      <w:lang w:eastAsia="en-IE"/>
    </w:rPr>
  </w:style>
  <w:style w:type="character" w:customStyle="1" w:styleId="Heading3Char">
    <w:name w:val="Heading 3 Char"/>
    <w:basedOn w:val="DefaultParagraphFont"/>
    <w:link w:val="Heading3"/>
    <w:rsid w:val="00BF6318"/>
    <w:rPr>
      <w:rFonts w:ascii="Times New Roman" w:eastAsia="Times New Roman" w:hAnsi="Times New Roman" w:cs="Times New Roman"/>
      <w:b/>
      <w:sz w:val="20"/>
      <w:szCs w:val="20"/>
      <w:lang w:val="en-US" w:eastAsia="en-IE"/>
    </w:rPr>
  </w:style>
  <w:style w:type="character" w:customStyle="1" w:styleId="Heading4Char">
    <w:name w:val="Heading 4 Char"/>
    <w:basedOn w:val="DefaultParagraphFont"/>
    <w:link w:val="Heading4"/>
    <w:uiPriority w:val="99"/>
    <w:rsid w:val="00BF6318"/>
    <w:rPr>
      <w:rFonts w:ascii="Times New Roman" w:eastAsia="Times New Roman" w:hAnsi="Times New Roman" w:cs="Times New Roman"/>
      <w:b/>
      <w:szCs w:val="20"/>
      <w:lang w:eastAsia="en-IE"/>
    </w:rPr>
  </w:style>
  <w:style w:type="character" w:customStyle="1" w:styleId="Heading5Char">
    <w:name w:val="Heading 5 Char"/>
    <w:basedOn w:val="DefaultParagraphFont"/>
    <w:link w:val="Heading5"/>
    <w:rsid w:val="00BF6318"/>
    <w:rPr>
      <w:rFonts w:ascii="Times New Roman" w:eastAsia="Times New Roman" w:hAnsi="Times New Roman" w:cs="Times New Roman"/>
      <w:b/>
      <w:szCs w:val="20"/>
      <w:lang w:eastAsia="en-IE"/>
    </w:rPr>
  </w:style>
  <w:style w:type="character" w:customStyle="1" w:styleId="Heading6Char">
    <w:name w:val="Heading 6 Char"/>
    <w:basedOn w:val="DefaultParagraphFont"/>
    <w:link w:val="Heading6"/>
    <w:rsid w:val="00BF6318"/>
    <w:rPr>
      <w:rFonts w:ascii="Times New Roman" w:eastAsia="Times New Roman" w:hAnsi="Times New Roman" w:cs="Times New Roman"/>
      <w:b/>
      <w:szCs w:val="20"/>
      <w:lang w:eastAsia="en-IE"/>
    </w:rPr>
  </w:style>
  <w:style w:type="character" w:customStyle="1" w:styleId="Heading7Char">
    <w:name w:val="Heading 7 Char"/>
    <w:basedOn w:val="DefaultParagraphFont"/>
    <w:link w:val="Heading7"/>
    <w:rsid w:val="00BF6318"/>
    <w:rPr>
      <w:rFonts w:ascii="Times New Roman" w:eastAsia="Times New Roman" w:hAnsi="Times New Roman" w:cs="Times New Roman"/>
      <w:b/>
      <w:szCs w:val="20"/>
      <w:lang w:eastAsia="en-IE"/>
    </w:rPr>
  </w:style>
  <w:style w:type="character" w:customStyle="1" w:styleId="Heading8Char">
    <w:name w:val="Heading 8 Char"/>
    <w:basedOn w:val="DefaultParagraphFont"/>
    <w:link w:val="Heading8"/>
    <w:rsid w:val="00BF6318"/>
    <w:rPr>
      <w:rFonts w:ascii="Times New Roman" w:eastAsia="Times New Roman" w:hAnsi="Times New Roman" w:cs="Times New Roman"/>
      <w:b/>
      <w:color w:val="000000"/>
      <w:szCs w:val="20"/>
      <w:lang w:eastAsia="en-IE"/>
    </w:rPr>
  </w:style>
  <w:style w:type="character" w:customStyle="1" w:styleId="Heading9Char">
    <w:name w:val="Heading 9 Char"/>
    <w:basedOn w:val="DefaultParagraphFont"/>
    <w:link w:val="Heading9"/>
    <w:rsid w:val="00BF6318"/>
    <w:rPr>
      <w:rFonts w:ascii="Times New Roman" w:eastAsia="Times New Roman" w:hAnsi="Times New Roman" w:cs="Times New Roman"/>
      <w:b/>
      <w:bCs/>
      <w:sz w:val="28"/>
      <w:szCs w:val="20"/>
      <w:lang w:eastAsia="en-IE"/>
    </w:rPr>
  </w:style>
  <w:style w:type="paragraph" w:customStyle="1" w:styleId="HeadingBase">
    <w:name w:val="Heading Base"/>
    <w:basedOn w:val="Normal"/>
    <w:next w:val="BodyText"/>
    <w:link w:val="HeadingBaseChar"/>
    <w:rsid w:val="00BF6318"/>
    <w:pPr>
      <w:keepNext/>
      <w:keepLines/>
      <w:spacing w:before="140" w:line="220" w:lineRule="atLeast"/>
      <w:ind w:left="1080"/>
    </w:pPr>
    <w:rPr>
      <w:rFonts w:ascii="Helvetica" w:hAnsi="Helvetica"/>
      <w:sz w:val="22"/>
    </w:rPr>
  </w:style>
  <w:style w:type="paragraph" w:styleId="BodyText">
    <w:name w:val="Body Text"/>
    <w:basedOn w:val="Normal"/>
    <w:link w:val="BodyTextChar"/>
    <w:rsid w:val="00BF6318"/>
    <w:pPr>
      <w:spacing w:after="240" w:line="240" w:lineRule="atLeast"/>
      <w:ind w:left="1080"/>
      <w:jc w:val="both"/>
    </w:pPr>
    <w:rPr>
      <w:rFonts w:ascii="Helvetica" w:hAnsi="Helvetica"/>
      <w:spacing w:val="-5"/>
    </w:rPr>
  </w:style>
  <w:style w:type="character" w:customStyle="1" w:styleId="BodyTextChar">
    <w:name w:val="Body Text Char"/>
    <w:basedOn w:val="DefaultParagraphFont"/>
    <w:link w:val="BodyText"/>
    <w:rsid w:val="00BF6318"/>
    <w:rPr>
      <w:rFonts w:ascii="Helvetica" w:eastAsia="Times New Roman" w:hAnsi="Helvetica" w:cs="Times New Roman"/>
      <w:spacing w:val="-5"/>
      <w:sz w:val="20"/>
      <w:szCs w:val="20"/>
      <w:lang w:eastAsia="en-IE"/>
    </w:rPr>
  </w:style>
  <w:style w:type="paragraph" w:styleId="Footer">
    <w:name w:val="footer"/>
    <w:basedOn w:val="Normal"/>
    <w:link w:val="FooterChar"/>
    <w:uiPriority w:val="99"/>
    <w:rsid w:val="00BF6318"/>
    <w:pPr>
      <w:tabs>
        <w:tab w:val="center" w:pos="4153"/>
        <w:tab w:val="right" w:pos="8306"/>
      </w:tabs>
    </w:pPr>
  </w:style>
  <w:style w:type="character" w:customStyle="1" w:styleId="FooterChar">
    <w:name w:val="Footer Char"/>
    <w:basedOn w:val="DefaultParagraphFont"/>
    <w:link w:val="Footer"/>
    <w:uiPriority w:val="99"/>
    <w:rsid w:val="00BF6318"/>
    <w:rPr>
      <w:rFonts w:ascii="Times New Roman" w:eastAsia="Times New Roman" w:hAnsi="Times New Roman" w:cs="Times New Roman"/>
      <w:sz w:val="20"/>
      <w:szCs w:val="20"/>
      <w:lang w:eastAsia="en-IE"/>
    </w:rPr>
  </w:style>
  <w:style w:type="paragraph" w:customStyle="1" w:styleId="Companyname">
    <w:name w:val="Company name"/>
    <w:basedOn w:val="Normal"/>
    <w:uiPriority w:val="99"/>
    <w:rsid w:val="00BF6318"/>
    <w:rPr>
      <w:rFonts w:ascii="Times" w:hAnsi="Times"/>
      <w:sz w:val="36"/>
    </w:rPr>
  </w:style>
  <w:style w:type="paragraph" w:styleId="Header">
    <w:name w:val="header"/>
    <w:basedOn w:val="Normal"/>
    <w:link w:val="HeaderChar"/>
    <w:uiPriority w:val="99"/>
    <w:rsid w:val="00BF6318"/>
    <w:pPr>
      <w:tabs>
        <w:tab w:val="center" w:pos="4819"/>
        <w:tab w:val="right" w:pos="9071"/>
      </w:tabs>
    </w:pPr>
    <w:rPr>
      <w:rFonts w:ascii="Times" w:hAnsi="Times"/>
      <w:sz w:val="24"/>
    </w:rPr>
  </w:style>
  <w:style w:type="character" w:customStyle="1" w:styleId="HeaderChar">
    <w:name w:val="Header Char"/>
    <w:basedOn w:val="DefaultParagraphFont"/>
    <w:link w:val="Header"/>
    <w:uiPriority w:val="99"/>
    <w:rsid w:val="00BF6318"/>
    <w:rPr>
      <w:rFonts w:ascii="Times" w:eastAsia="Times New Roman" w:hAnsi="Times" w:cs="Times New Roman"/>
      <w:sz w:val="24"/>
      <w:szCs w:val="20"/>
      <w:lang w:eastAsia="en-IE"/>
    </w:rPr>
  </w:style>
  <w:style w:type="paragraph" w:customStyle="1" w:styleId="Pagename">
    <w:name w:val="Page name"/>
    <w:basedOn w:val="Normal"/>
    <w:rsid w:val="00BF6318"/>
    <w:rPr>
      <w:rFonts w:ascii="Times" w:hAnsi="Times"/>
      <w:sz w:val="28"/>
    </w:rPr>
  </w:style>
  <w:style w:type="paragraph" w:customStyle="1" w:styleId="Accountstext">
    <w:name w:val="Accounts text"/>
    <w:basedOn w:val="Normal"/>
    <w:uiPriority w:val="99"/>
    <w:rsid w:val="00BF6318"/>
    <w:rPr>
      <w:rFonts w:ascii="Times" w:hAnsi="Times"/>
      <w:sz w:val="22"/>
    </w:rPr>
  </w:style>
  <w:style w:type="paragraph" w:customStyle="1" w:styleId="Contentspage">
    <w:name w:val="Contents page"/>
    <w:basedOn w:val="Normal"/>
    <w:rsid w:val="00BF6318"/>
    <w:pPr>
      <w:tabs>
        <w:tab w:val="right" w:pos="7920"/>
      </w:tabs>
    </w:pPr>
    <w:rPr>
      <w:rFonts w:ascii="Times" w:hAnsi="Times"/>
      <w:sz w:val="22"/>
    </w:rPr>
  </w:style>
  <w:style w:type="paragraph" w:customStyle="1" w:styleId="Picture">
    <w:name w:val="Picture"/>
    <w:basedOn w:val="Normal"/>
    <w:next w:val="Caption"/>
    <w:rsid w:val="00BF6318"/>
    <w:pPr>
      <w:keepNext/>
      <w:widowControl w:val="0"/>
    </w:pPr>
    <w:rPr>
      <w:rFonts w:ascii="Arial" w:hAnsi="Arial"/>
      <w:spacing w:val="-5"/>
      <w:lang w:val="en-US"/>
    </w:rPr>
  </w:style>
  <w:style w:type="paragraph" w:styleId="Caption">
    <w:name w:val="caption"/>
    <w:basedOn w:val="Normal"/>
    <w:next w:val="Normal"/>
    <w:qFormat/>
    <w:rsid w:val="00BF6318"/>
    <w:pPr>
      <w:spacing w:before="120" w:after="120"/>
    </w:pPr>
    <w:rPr>
      <w:rFonts w:ascii="Times" w:hAnsi="Times"/>
      <w:b/>
      <w:sz w:val="24"/>
    </w:rPr>
  </w:style>
  <w:style w:type="paragraph" w:styleId="BodyText2">
    <w:name w:val="Body Text 2"/>
    <w:basedOn w:val="BodyText"/>
    <w:link w:val="BodyText2Char"/>
    <w:rsid w:val="00BF6318"/>
    <w:pPr>
      <w:ind w:left="1440"/>
    </w:pPr>
  </w:style>
  <w:style w:type="character" w:customStyle="1" w:styleId="BodyText2Char">
    <w:name w:val="Body Text 2 Char"/>
    <w:basedOn w:val="DefaultParagraphFont"/>
    <w:link w:val="BodyText2"/>
    <w:rsid w:val="00BF6318"/>
    <w:rPr>
      <w:rFonts w:ascii="Helvetica" w:eastAsia="Times New Roman" w:hAnsi="Helvetica" w:cs="Times New Roman"/>
      <w:spacing w:val="-5"/>
      <w:sz w:val="20"/>
      <w:szCs w:val="20"/>
      <w:lang w:eastAsia="en-IE"/>
    </w:rPr>
  </w:style>
  <w:style w:type="paragraph" w:styleId="ListBullet">
    <w:name w:val="List Bullet"/>
    <w:basedOn w:val="List"/>
    <w:rsid w:val="00BF6318"/>
    <w:pPr>
      <w:widowControl w:val="0"/>
      <w:spacing w:after="240" w:line="240" w:lineRule="atLeast"/>
      <w:ind w:left="1440" w:hanging="360"/>
      <w:jc w:val="both"/>
    </w:pPr>
    <w:rPr>
      <w:rFonts w:ascii="Arial" w:hAnsi="Arial"/>
      <w:spacing w:val="-5"/>
      <w:sz w:val="20"/>
      <w:lang w:val="en-US"/>
    </w:rPr>
  </w:style>
  <w:style w:type="paragraph" w:styleId="List">
    <w:name w:val="List"/>
    <w:basedOn w:val="Normal"/>
    <w:rsid w:val="00BF6318"/>
    <w:pPr>
      <w:ind w:left="283" w:hanging="283"/>
    </w:pPr>
    <w:rPr>
      <w:rFonts w:ascii="Times" w:hAnsi="Times"/>
      <w:sz w:val="24"/>
    </w:rPr>
  </w:style>
  <w:style w:type="paragraph" w:styleId="Date">
    <w:name w:val="Date"/>
    <w:basedOn w:val="Normal"/>
    <w:link w:val="DateChar"/>
    <w:rsid w:val="00BF6318"/>
    <w:rPr>
      <w:rFonts w:ascii="Helvetica" w:hAnsi="Helvetica"/>
      <w:spacing w:val="-5"/>
    </w:rPr>
  </w:style>
  <w:style w:type="character" w:customStyle="1" w:styleId="DateChar">
    <w:name w:val="Date Char"/>
    <w:basedOn w:val="DefaultParagraphFont"/>
    <w:link w:val="Date"/>
    <w:rsid w:val="00BF6318"/>
    <w:rPr>
      <w:rFonts w:ascii="Helvetica" w:eastAsia="Times New Roman" w:hAnsi="Helvetica" w:cs="Times New Roman"/>
      <w:spacing w:val="-5"/>
      <w:sz w:val="20"/>
      <w:szCs w:val="20"/>
      <w:lang w:eastAsia="en-IE"/>
    </w:rPr>
  </w:style>
  <w:style w:type="paragraph" w:styleId="Index2">
    <w:name w:val="index 2"/>
    <w:basedOn w:val="IndexBase"/>
    <w:semiHidden/>
    <w:rsid w:val="00BF6318"/>
    <w:pPr>
      <w:spacing w:line="240" w:lineRule="auto"/>
      <w:ind w:left="720"/>
    </w:pPr>
  </w:style>
  <w:style w:type="paragraph" w:customStyle="1" w:styleId="IndexBase">
    <w:name w:val="Index Base"/>
    <w:basedOn w:val="Normal"/>
    <w:rsid w:val="00BF6318"/>
    <w:pPr>
      <w:spacing w:line="240" w:lineRule="atLeast"/>
      <w:ind w:left="360" w:hanging="360"/>
    </w:pPr>
    <w:rPr>
      <w:rFonts w:ascii="Helvetica" w:hAnsi="Helvetica"/>
      <w:spacing w:val="-5"/>
      <w:sz w:val="18"/>
    </w:rPr>
  </w:style>
  <w:style w:type="paragraph" w:customStyle="1" w:styleId="Notes">
    <w:name w:val="Notes"/>
    <w:basedOn w:val="Normal"/>
    <w:rsid w:val="00BF6318"/>
    <w:pPr>
      <w:tabs>
        <w:tab w:val="left" w:pos="900"/>
        <w:tab w:val="decimal" w:pos="4940"/>
        <w:tab w:val="decimal" w:pos="6380"/>
        <w:tab w:val="decimal" w:pos="7820"/>
        <w:tab w:val="decimal" w:pos="9260"/>
      </w:tabs>
      <w:ind w:left="440" w:hanging="440"/>
    </w:pPr>
    <w:rPr>
      <w:rFonts w:ascii="Times" w:hAnsi="Times"/>
      <w:sz w:val="22"/>
    </w:rPr>
  </w:style>
  <w:style w:type="paragraph" w:customStyle="1" w:styleId="4columnnote">
    <w:name w:val="4 column + note"/>
    <w:basedOn w:val="Normal"/>
    <w:rsid w:val="00BF6318"/>
    <w:pPr>
      <w:tabs>
        <w:tab w:val="left" w:pos="440"/>
        <w:tab w:val="right" w:pos="4680"/>
        <w:tab w:val="decimal" w:pos="5760"/>
        <w:tab w:val="decimal" w:pos="6840"/>
        <w:tab w:val="decimal" w:pos="8180"/>
        <w:tab w:val="decimal" w:pos="9260"/>
      </w:tabs>
      <w:ind w:right="-180"/>
    </w:pPr>
    <w:rPr>
      <w:rFonts w:ascii="Times" w:hAnsi="Times"/>
      <w:sz w:val="22"/>
    </w:rPr>
  </w:style>
  <w:style w:type="paragraph" w:customStyle="1" w:styleId="2columnfigures">
    <w:name w:val="2 column figures"/>
    <w:basedOn w:val="Normal"/>
    <w:uiPriority w:val="99"/>
    <w:rsid w:val="00BF6318"/>
    <w:pPr>
      <w:tabs>
        <w:tab w:val="left" w:pos="440"/>
        <w:tab w:val="right" w:pos="5760"/>
        <w:tab w:val="decimal" w:pos="7200"/>
        <w:tab w:val="decimal" w:pos="8640"/>
      </w:tabs>
      <w:ind w:right="-360"/>
    </w:pPr>
    <w:rPr>
      <w:rFonts w:ascii="Times" w:hAnsi="Times"/>
      <w:sz w:val="22"/>
    </w:rPr>
  </w:style>
  <w:style w:type="character" w:styleId="PageNumber">
    <w:name w:val="page number"/>
    <w:basedOn w:val="DefaultParagraphFont"/>
    <w:rsid w:val="00BF6318"/>
  </w:style>
  <w:style w:type="character" w:styleId="Hyperlink">
    <w:name w:val="Hyperlink"/>
    <w:rsid w:val="00BF6318"/>
    <w:rPr>
      <w:color w:val="0000FF"/>
      <w:sz w:val="20"/>
      <w:u w:val="single"/>
    </w:rPr>
  </w:style>
  <w:style w:type="paragraph" w:customStyle="1" w:styleId="Signatures">
    <w:name w:val="Signatures"/>
    <w:basedOn w:val="Normal"/>
    <w:next w:val="Normal"/>
    <w:rsid w:val="00BF6318"/>
    <w:pPr>
      <w:widowControl w:val="0"/>
      <w:jc w:val="both"/>
    </w:pPr>
    <w:rPr>
      <w:sz w:val="24"/>
      <w:lang w:val="en-US"/>
    </w:rPr>
  </w:style>
  <w:style w:type="paragraph" w:styleId="BodyTextIndent2">
    <w:name w:val="Body Text Indent 2"/>
    <w:basedOn w:val="Normal"/>
    <w:link w:val="BodyTextIndent2Char"/>
    <w:rsid w:val="00BF6318"/>
    <w:pPr>
      <w:widowControl w:val="0"/>
      <w:ind w:left="567"/>
      <w:jc w:val="both"/>
    </w:pPr>
    <w:rPr>
      <w:sz w:val="22"/>
      <w:lang w:val="en-US"/>
    </w:rPr>
  </w:style>
  <w:style w:type="character" w:customStyle="1" w:styleId="BodyTextIndent2Char">
    <w:name w:val="Body Text Indent 2 Char"/>
    <w:basedOn w:val="DefaultParagraphFont"/>
    <w:link w:val="BodyTextIndent2"/>
    <w:rsid w:val="00BF6318"/>
    <w:rPr>
      <w:rFonts w:ascii="Times New Roman" w:eastAsia="Times New Roman" w:hAnsi="Times New Roman" w:cs="Times New Roman"/>
      <w:szCs w:val="20"/>
      <w:lang w:val="en-US" w:eastAsia="en-IE"/>
    </w:rPr>
  </w:style>
  <w:style w:type="character" w:styleId="FollowedHyperlink">
    <w:name w:val="FollowedHyperlink"/>
    <w:rsid w:val="00BF6318"/>
    <w:rPr>
      <w:color w:val="800080"/>
      <w:u w:val="single"/>
    </w:rPr>
  </w:style>
  <w:style w:type="paragraph" w:styleId="BodyText3">
    <w:name w:val="Body Text 3"/>
    <w:basedOn w:val="Normal"/>
    <w:link w:val="BodyText3Char"/>
    <w:rsid w:val="00BF6318"/>
    <w:rPr>
      <w:i/>
      <w:sz w:val="22"/>
    </w:rPr>
  </w:style>
  <w:style w:type="character" w:customStyle="1" w:styleId="BodyText3Char">
    <w:name w:val="Body Text 3 Char"/>
    <w:basedOn w:val="DefaultParagraphFont"/>
    <w:link w:val="BodyText3"/>
    <w:rsid w:val="00BF6318"/>
    <w:rPr>
      <w:rFonts w:ascii="Times New Roman" w:eastAsia="Times New Roman" w:hAnsi="Times New Roman" w:cs="Times New Roman"/>
      <w:i/>
      <w:szCs w:val="20"/>
      <w:lang w:eastAsia="en-IE"/>
    </w:rPr>
  </w:style>
  <w:style w:type="paragraph" w:styleId="BlockText">
    <w:name w:val="Block Text"/>
    <w:basedOn w:val="Normal"/>
    <w:rsid w:val="00BF6318"/>
    <w:pPr>
      <w:numPr>
        <w:ilvl w:val="12"/>
      </w:numPr>
      <w:tabs>
        <w:tab w:val="left" w:pos="-720"/>
        <w:tab w:val="left" w:pos="0"/>
        <w:tab w:val="left" w:pos="720"/>
        <w:tab w:val="left" w:pos="1440"/>
      </w:tabs>
      <w:suppressAutoHyphens/>
      <w:ind w:left="567" w:right="-45" w:hanging="567"/>
    </w:pPr>
    <w:rPr>
      <w:spacing w:val="-2"/>
      <w:sz w:val="22"/>
    </w:rPr>
  </w:style>
  <w:style w:type="paragraph" w:styleId="BodyTextIndent">
    <w:name w:val="Body Text Indent"/>
    <w:basedOn w:val="Normal"/>
    <w:link w:val="BodyTextIndentChar"/>
    <w:rsid w:val="00BF6318"/>
    <w:pPr>
      <w:ind w:left="426"/>
      <w:jc w:val="both"/>
    </w:pPr>
    <w:rPr>
      <w:sz w:val="22"/>
    </w:rPr>
  </w:style>
  <w:style w:type="character" w:customStyle="1" w:styleId="BodyTextIndentChar">
    <w:name w:val="Body Text Indent Char"/>
    <w:basedOn w:val="DefaultParagraphFont"/>
    <w:link w:val="BodyTextIndent"/>
    <w:rsid w:val="00BF6318"/>
    <w:rPr>
      <w:rFonts w:ascii="Times New Roman" w:eastAsia="Times New Roman" w:hAnsi="Times New Roman" w:cs="Times New Roman"/>
      <w:szCs w:val="20"/>
      <w:lang w:eastAsia="en-IE"/>
    </w:rPr>
  </w:style>
  <w:style w:type="character" w:styleId="CommentReference">
    <w:name w:val="annotation reference"/>
    <w:semiHidden/>
    <w:rsid w:val="00BF6318"/>
    <w:rPr>
      <w:sz w:val="16"/>
      <w:szCs w:val="16"/>
    </w:rPr>
  </w:style>
  <w:style w:type="paragraph" w:styleId="CommentText">
    <w:name w:val="annotation text"/>
    <w:basedOn w:val="Normal"/>
    <w:link w:val="CommentTextChar"/>
    <w:semiHidden/>
    <w:rsid w:val="00BF6318"/>
  </w:style>
  <w:style w:type="character" w:customStyle="1" w:styleId="CommentTextChar">
    <w:name w:val="Comment Text Char"/>
    <w:basedOn w:val="DefaultParagraphFont"/>
    <w:link w:val="CommentText"/>
    <w:semiHidden/>
    <w:rsid w:val="00BF6318"/>
    <w:rPr>
      <w:rFonts w:ascii="Times New Roman" w:eastAsia="Times New Roman" w:hAnsi="Times New Roman" w:cs="Times New Roman"/>
      <w:sz w:val="20"/>
      <w:szCs w:val="20"/>
      <w:lang w:eastAsia="en-IE"/>
    </w:rPr>
  </w:style>
  <w:style w:type="character" w:styleId="HTMLKeyboard">
    <w:name w:val="HTML Keyboard"/>
    <w:rsid w:val="00BF6318"/>
    <w:rPr>
      <w:rFonts w:ascii="Courier New" w:eastAsia="Times New Roman" w:hAnsi="Courier New" w:cs="Courier New" w:hint="default"/>
      <w:color w:val="000000"/>
      <w:sz w:val="20"/>
      <w:szCs w:val="20"/>
    </w:rPr>
  </w:style>
  <w:style w:type="paragraph" w:styleId="DocumentMap">
    <w:name w:val="Document Map"/>
    <w:basedOn w:val="Normal"/>
    <w:link w:val="DocumentMapChar"/>
    <w:semiHidden/>
    <w:rsid w:val="00BF6318"/>
    <w:pPr>
      <w:shd w:val="clear" w:color="auto" w:fill="000080"/>
    </w:pPr>
    <w:rPr>
      <w:rFonts w:ascii="Tahoma" w:hAnsi="Tahoma" w:cs="Tahoma"/>
    </w:rPr>
  </w:style>
  <w:style w:type="character" w:customStyle="1" w:styleId="DocumentMapChar">
    <w:name w:val="Document Map Char"/>
    <w:basedOn w:val="DefaultParagraphFont"/>
    <w:link w:val="DocumentMap"/>
    <w:semiHidden/>
    <w:rsid w:val="00BF6318"/>
    <w:rPr>
      <w:rFonts w:ascii="Tahoma" w:eastAsia="Times New Roman" w:hAnsi="Tahoma" w:cs="Tahoma"/>
      <w:sz w:val="20"/>
      <w:szCs w:val="20"/>
      <w:shd w:val="clear" w:color="auto" w:fill="000080"/>
      <w:lang w:eastAsia="en-IE"/>
    </w:rPr>
  </w:style>
  <w:style w:type="paragraph" w:customStyle="1" w:styleId="Bullet">
    <w:name w:val="Bullet"/>
    <w:basedOn w:val="Normal"/>
    <w:rsid w:val="00BF6318"/>
    <w:pPr>
      <w:numPr>
        <w:numId w:val="3"/>
      </w:numPr>
      <w:tabs>
        <w:tab w:val="left" w:pos="284"/>
      </w:tabs>
      <w:overflowPunct/>
      <w:autoSpaceDE/>
      <w:autoSpaceDN/>
      <w:adjustRightInd/>
      <w:spacing w:after="130"/>
      <w:jc w:val="both"/>
      <w:textAlignment w:val="auto"/>
    </w:pPr>
    <w:rPr>
      <w:sz w:val="22"/>
      <w:szCs w:val="24"/>
      <w:lang w:eastAsia="en-US"/>
    </w:rPr>
  </w:style>
  <w:style w:type="paragraph" w:customStyle="1" w:styleId="Text">
    <w:name w:val="Text"/>
    <w:aliases w:val="t1"/>
    <w:basedOn w:val="Normal"/>
    <w:rsid w:val="00BF6318"/>
    <w:pPr>
      <w:spacing w:after="260"/>
      <w:jc w:val="both"/>
    </w:pPr>
    <w:rPr>
      <w:sz w:val="22"/>
      <w:lang w:eastAsia="en-US"/>
    </w:rPr>
  </w:style>
  <w:style w:type="paragraph" w:styleId="BalloonText">
    <w:name w:val="Balloon Text"/>
    <w:basedOn w:val="Normal"/>
    <w:link w:val="BalloonTextChar"/>
    <w:semiHidden/>
    <w:rsid w:val="00BF6318"/>
    <w:rPr>
      <w:rFonts w:ascii="Tahoma" w:hAnsi="Tahoma" w:cs="Tahoma"/>
      <w:sz w:val="16"/>
      <w:szCs w:val="16"/>
    </w:rPr>
  </w:style>
  <w:style w:type="character" w:customStyle="1" w:styleId="BalloonTextChar">
    <w:name w:val="Balloon Text Char"/>
    <w:basedOn w:val="DefaultParagraphFont"/>
    <w:link w:val="BalloonText"/>
    <w:semiHidden/>
    <w:rsid w:val="00BF6318"/>
    <w:rPr>
      <w:rFonts w:ascii="Tahoma" w:eastAsia="Times New Roman" w:hAnsi="Tahoma" w:cs="Tahoma"/>
      <w:sz w:val="16"/>
      <w:szCs w:val="16"/>
      <w:lang w:eastAsia="en-IE"/>
    </w:rPr>
  </w:style>
  <w:style w:type="paragraph" w:customStyle="1" w:styleId="ACText">
    <w:name w:val="AC Text"/>
    <w:basedOn w:val="Normal"/>
    <w:rsid w:val="00BF6318"/>
    <w:pPr>
      <w:tabs>
        <w:tab w:val="left" w:pos="0"/>
      </w:tabs>
      <w:suppressAutoHyphens/>
      <w:spacing w:before="130"/>
      <w:jc w:val="both"/>
    </w:pPr>
  </w:style>
  <w:style w:type="character" w:customStyle="1" w:styleId="HeadingBaseChar">
    <w:name w:val="Heading Base Char"/>
    <w:link w:val="HeadingBase"/>
    <w:rsid w:val="00BF6318"/>
    <w:rPr>
      <w:rFonts w:ascii="Helvetica" w:eastAsia="Times New Roman" w:hAnsi="Helvetica" w:cs="Times New Roman"/>
      <w:szCs w:val="20"/>
      <w:lang w:eastAsia="en-IE"/>
    </w:rPr>
  </w:style>
  <w:style w:type="paragraph" w:customStyle="1" w:styleId="MAJOR">
    <w:name w:val="MAJOR"/>
    <w:rsid w:val="00BF6318"/>
    <w:pPr>
      <w:widowControl w:val="0"/>
      <w:tabs>
        <w:tab w:val="left" w:pos="-720"/>
      </w:tabs>
      <w:suppressAutoHyphens/>
      <w:spacing w:after="0" w:line="240" w:lineRule="auto"/>
    </w:pPr>
    <w:rPr>
      <w:rFonts w:ascii="Times New Roman" w:eastAsia="Times New Roman" w:hAnsi="Times New Roman" w:cs="Times New Roman"/>
      <w:b/>
      <w:snapToGrid w:val="0"/>
      <w:sz w:val="27"/>
      <w:szCs w:val="20"/>
      <w:lang w:val="en-US"/>
    </w:rPr>
  </w:style>
  <w:style w:type="character" w:customStyle="1" w:styleId="STANDARD1">
    <w:name w:val="STANDARD 1"/>
    <w:basedOn w:val="DefaultParagraphFont"/>
    <w:rsid w:val="00BF6318"/>
  </w:style>
  <w:style w:type="paragraph" w:customStyle="1" w:styleId="CharChar">
    <w:name w:val="字元 字元 Char Char 字元 字元"/>
    <w:basedOn w:val="Normal"/>
    <w:rsid w:val="00BF6318"/>
    <w:pPr>
      <w:overflowPunct/>
      <w:autoSpaceDE/>
      <w:autoSpaceDN/>
      <w:adjustRightInd/>
      <w:spacing w:after="160" w:line="240" w:lineRule="exact"/>
      <w:textAlignment w:val="auto"/>
    </w:pPr>
    <w:rPr>
      <w:rFonts w:ascii="Tahoma" w:eastAsia="Batang" w:hAnsi="Tahoma"/>
      <w:lang w:eastAsia="en-US"/>
    </w:rPr>
  </w:style>
  <w:style w:type="character" w:styleId="FootnoteReference">
    <w:name w:val="footnote reference"/>
    <w:semiHidden/>
    <w:rsid w:val="00BF6318"/>
    <w:rPr>
      <w:vertAlign w:val="superscript"/>
    </w:rPr>
  </w:style>
  <w:style w:type="character" w:customStyle="1" w:styleId="nf1">
    <w:name w:val="nf1"/>
    <w:rsid w:val="00BF6318"/>
    <w:rPr>
      <w:rFonts w:ascii="Courier New" w:hAnsi="Courier New" w:hint="default"/>
      <w:sz w:val="18"/>
      <w:szCs w:val="18"/>
    </w:rPr>
  </w:style>
  <w:style w:type="paragraph" w:styleId="HTMLPreformatted">
    <w:name w:val="HTML Preformatted"/>
    <w:basedOn w:val="Normal"/>
    <w:link w:val="HTMLPreformattedChar"/>
    <w:rsid w:val="00BF6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lang w:val="en-US" w:eastAsia="ja-JP"/>
    </w:rPr>
  </w:style>
  <w:style w:type="character" w:customStyle="1" w:styleId="HTMLPreformattedChar">
    <w:name w:val="HTML Preformatted Char"/>
    <w:basedOn w:val="DefaultParagraphFont"/>
    <w:link w:val="HTMLPreformatted"/>
    <w:rsid w:val="00BF6318"/>
    <w:rPr>
      <w:rFonts w:ascii="Courier New" w:eastAsia="Courier New" w:hAnsi="Courier New" w:cs="Times New Roman"/>
      <w:sz w:val="20"/>
      <w:szCs w:val="20"/>
      <w:lang w:val="en-US" w:eastAsia="ja-JP"/>
    </w:rPr>
  </w:style>
  <w:style w:type="paragraph" w:styleId="NormalWeb">
    <w:name w:val="Normal (Web)"/>
    <w:basedOn w:val="Normal"/>
    <w:uiPriority w:val="99"/>
    <w:rsid w:val="00BF6318"/>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BF6318"/>
    <w:pPr>
      <w:ind w:left="720"/>
      <w:contextualSpacing/>
    </w:pPr>
  </w:style>
  <w:style w:type="paragraph" w:customStyle="1" w:styleId="BasicParagraph">
    <w:name w:val="[Basic Paragraph]"/>
    <w:basedOn w:val="Normal"/>
    <w:uiPriority w:val="99"/>
    <w:rsid w:val="00BF6318"/>
    <w:pPr>
      <w:overflowPunct/>
      <w:spacing w:line="288" w:lineRule="auto"/>
      <w:textAlignment w:val="center"/>
    </w:pPr>
    <w:rPr>
      <w:rFonts w:eastAsia="Calibri"/>
      <w:color w:val="000000"/>
      <w:sz w:val="24"/>
      <w:szCs w:val="24"/>
      <w:lang w:eastAsia="en-US"/>
    </w:rPr>
  </w:style>
  <w:style w:type="paragraph" w:customStyle="1" w:styleId="af">
    <w:name w:val="af"/>
    <w:basedOn w:val="Normal"/>
    <w:rsid w:val="00BF6318"/>
    <w:pPr>
      <w:overflowPunct/>
      <w:autoSpaceDE/>
      <w:autoSpaceDN/>
      <w:adjustRightInd/>
      <w:spacing w:before="100" w:beforeAutospacing="1" w:after="100" w:afterAutospacing="1"/>
      <w:textAlignment w:val="auto"/>
    </w:pPr>
    <w:rPr>
      <w:sz w:val="24"/>
      <w:szCs w:val="24"/>
      <w:lang w:eastAsia="en-GB"/>
    </w:rPr>
  </w:style>
  <w:style w:type="character" w:customStyle="1" w:styleId="ag">
    <w:name w:val="ag"/>
    <w:basedOn w:val="DefaultParagraphFont"/>
    <w:rsid w:val="00BF6318"/>
  </w:style>
  <w:style w:type="paragraph" w:customStyle="1" w:styleId="Default">
    <w:name w:val="Default"/>
    <w:rsid w:val="00BF631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Emphasis">
    <w:name w:val="Emphasis"/>
    <w:uiPriority w:val="20"/>
    <w:qFormat/>
    <w:rsid w:val="00BF6318"/>
    <w:rPr>
      <w:i/>
      <w:iCs/>
    </w:rPr>
  </w:style>
  <w:style w:type="paragraph" w:styleId="Revision">
    <w:name w:val="Revision"/>
    <w:hidden/>
    <w:uiPriority w:val="99"/>
    <w:semiHidden/>
    <w:rsid w:val="00BF6318"/>
    <w:pPr>
      <w:spacing w:after="0" w:line="240" w:lineRule="auto"/>
    </w:pPr>
    <w:rPr>
      <w:rFonts w:ascii="Times New Roman" w:eastAsia="Times New Roman" w:hAnsi="Times New Roman" w:cs="Times New Roman"/>
      <w:sz w:val="20"/>
      <w:szCs w:val="20"/>
      <w:lang w:eastAsia="en-IE"/>
    </w:rPr>
  </w:style>
  <w:style w:type="paragraph" w:customStyle="1" w:styleId="TextStd">
    <w:name w:val="TextStd"/>
    <w:uiPriority w:val="99"/>
    <w:rsid w:val="00BF6318"/>
    <w:pPr>
      <w:widowControl w:val="0"/>
      <w:tabs>
        <w:tab w:val="left" w:pos="576"/>
        <w:tab w:val="left" w:pos="1152"/>
      </w:tabs>
      <w:autoSpaceDE w:val="0"/>
      <w:autoSpaceDN w:val="0"/>
      <w:adjustRightInd w:val="0"/>
      <w:spacing w:after="0" w:line="240" w:lineRule="auto"/>
    </w:pPr>
    <w:rPr>
      <w:rFonts w:ascii="Garamond" w:eastAsia="Times New Roman" w:hAnsi="Garamond" w:cs="Garamond"/>
      <w:color w:val="000000"/>
      <w:lang w:val="en-IE" w:eastAsia="en-IE"/>
    </w:rPr>
  </w:style>
  <w:style w:type="paragraph" w:customStyle="1" w:styleId="TextStdInput">
    <w:name w:val="TextStdInput"/>
    <w:uiPriority w:val="99"/>
    <w:rsid w:val="00BF6318"/>
    <w:pPr>
      <w:widowControl w:val="0"/>
      <w:tabs>
        <w:tab w:val="left" w:pos="576"/>
        <w:tab w:val="left" w:pos="1152"/>
      </w:tabs>
      <w:autoSpaceDE w:val="0"/>
      <w:autoSpaceDN w:val="0"/>
      <w:adjustRightInd w:val="0"/>
      <w:spacing w:after="0" w:line="240" w:lineRule="auto"/>
    </w:pPr>
    <w:rPr>
      <w:rFonts w:ascii="Garamond" w:eastAsia="Times New Roman" w:hAnsi="Garamond" w:cs="Garamond"/>
      <w:color w:val="000000"/>
      <w:lang w:val="en-IE" w:eastAsia="en-IE"/>
    </w:rPr>
  </w:style>
  <w:style w:type="character" w:customStyle="1" w:styleId="fontstyle01">
    <w:name w:val="fontstyle01"/>
    <w:basedOn w:val="DefaultParagraphFont"/>
    <w:rsid w:val="00BF6318"/>
    <w:rPr>
      <w:rFonts w:ascii="Garamond" w:hAnsi="Garamond" w:hint="default"/>
      <w:b w:val="0"/>
      <w:bCs w:val="0"/>
      <w:i w:val="0"/>
      <w:iCs w:val="0"/>
      <w:color w:val="000000"/>
      <w:sz w:val="22"/>
      <w:szCs w:val="22"/>
    </w:rPr>
  </w:style>
  <w:style w:type="paragraph" w:styleId="CommentSubject">
    <w:name w:val="annotation subject"/>
    <w:basedOn w:val="CommentText"/>
    <w:next w:val="CommentText"/>
    <w:link w:val="CommentSubjectChar"/>
    <w:semiHidden/>
    <w:unhideWhenUsed/>
    <w:rsid w:val="00BF6318"/>
    <w:rPr>
      <w:b/>
      <w:bCs/>
    </w:rPr>
  </w:style>
  <w:style w:type="character" w:customStyle="1" w:styleId="CommentSubjectChar">
    <w:name w:val="Comment Subject Char"/>
    <w:basedOn w:val="CommentTextChar"/>
    <w:link w:val="CommentSubject"/>
    <w:semiHidden/>
    <w:rsid w:val="00BF6318"/>
    <w:rPr>
      <w:rFonts w:ascii="Times New Roman" w:eastAsia="Times New Roman" w:hAnsi="Times New Roman" w:cs="Times New Roman"/>
      <w:b/>
      <w:bCs/>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178973">
      <w:bodyDiv w:val="1"/>
      <w:marLeft w:val="0"/>
      <w:marRight w:val="0"/>
      <w:marTop w:val="0"/>
      <w:marBottom w:val="0"/>
      <w:divBdr>
        <w:top w:val="none" w:sz="0" w:space="0" w:color="auto"/>
        <w:left w:val="none" w:sz="0" w:space="0" w:color="auto"/>
        <w:bottom w:val="none" w:sz="0" w:space="0" w:color="auto"/>
        <w:right w:val="none" w:sz="0" w:space="0" w:color="auto"/>
      </w:divBdr>
    </w:div>
    <w:div w:id="225801452">
      <w:bodyDiv w:val="1"/>
      <w:marLeft w:val="0"/>
      <w:marRight w:val="0"/>
      <w:marTop w:val="0"/>
      <w:marBottom w:val="0"/>
      <w:divBdr>
        <w:top w:val="none" w:sz="0" w:space="0" w:color="auto"/>
        <w:left w:val="none" w:sz="0" w:space="0" w:color="auto"/>
        <w:bottom w:val="none" w:sz="0" w:space="0" w:color="auto"/>
        <w:right w:val="none" w:sz="0" w:space="0" w:color="auto"/>
      </w:divBdr>
    </w:div>
    <w:div w:id="234585800">
      <w:bodyDiv w:val="1"/>
      <w:marLeft w:val="0"/>
      <w:marRight w:val="0"/>
      <w:marTop w:val="0"/>
      <w:marBottom w:val="0"/>
      <w:divBdr>
        <w:top w:val="none" w:sz="0" w:space="0" w:color="auto"/>
        <w:left w:val="none" w:sz="0" w:space="0" w:color="auto"/>
        <w:bottom w:val="none" w:sz="0" w:space="0" w:color="auto"/>
        <w:right w:val="none" w:sz="0" w:space="0" w:color="auto"/>
      </w:divBdr>
    </w:div>
    <w:div w:id="352539925">
      <w:bodyDiv w:val="1"/>
      <w:marLeft w:val="0"/>
      <w:marRight w:val="0"/>
      <w:marTop w:val="0"/>
      <w:marBottom w:val="0"/>
      <w:divBdr>
        <w:top w:val="none" w:sz="0" w:space="0" w:color="auto"/>
        <w:left w:val="none" w:sz="0" w:space="0" w:color="auto"/>
        <w:bottom w:val="none" w:sz="0" w:space="0" w:color="auto"/>
        <w:right w:val="none" w:sz="0" w:space="0" w:color="auto"/>
      </w:divBdr>
    </w:div>
    <w:div w:id="573665264">
      <w:bodyDiv w:val="1"/>
      <w:marLeft w:val="0"/>
      <w:marRight w:val="0"/>
      <w:marTop w:val="0"/>
      <w:marBottom w:val="0"/>
      <w:divBdr>
        <w:top w:val="none" w:sz="0" w:space="0" w:color="auto"/>
        <w:left w:val="none" w:sz="0" w:space="0" w:color="auto"/>
        <w:bottom w:val="none" w:sz="0" w:space="0" w:color="auto"/>
        <w:right w:val="none" w:sz="0" w:space="0" w:color="auto"/>
      </w:divBdr>
    </w:div>
    <w:div w:id="717169151">
      <w:bodyDiv w:val="1"/>
      <w:marLeft w:val="0"/>
      <w:marRight w:val="0"/>
      <w:marTop w:val="0"/>
      <w:marBottom w:val="0"/>
      <w:divBdr>
        <w:top w:val="none" w:sz="0" w:space="0" w:color="auto"/>
        <w:left w:val="none" w:sz="0" w:space="0" w:color="auto"/>
        <w:bottom w:val="none" w:sz="0" w:space="0" w:color="auto"/>
        <w:right w:val="none" w:sz="0" w:space="0" w:color="auto"/>
      </w:divBdr>
    </w:div>
    <w:div w:id="742144203">
      <w:bodyDiv w:val="1"/>
      <w:marLeft w:val="0"/>
      <w:marRight w:val="0"/>
      <w:marTop w:val="0"/>
      <w:marBottom w:val="0"/>
      <w:divBdr>
        <w:top w:val="none" w:sz="0" w:space="0" w:color="auto"/>
        <w:left w:val="none" w:sz="0" w:space="0" w:color="auto"/>
        <w:bottom w:val="none" w:sz="0" w:space="0" w:color="auto"/>
        <w:right w:val="none" w:sz="0" w:space="0" w:color="auto"/>
      </w:divBdr>
    </w:div>
    <w:div w:id="796290741">
      <w:bodyDiv w:val="1"/>
      <w:marLeft w:val="0"/>
      <w:marRight w:val="0"/>
      <w:marTop w:val="0"/>
      <w:marBottom w:val="0"/>
      <w:divBdr>
        <w:top w:val="none" w:sz="0" w:space="0" w:color="auto"/>
        <w:left w:val="none" w:sz="0" w:space="0" w:color="auto"/>
        <w:bottom w:val="none" w:sz="0" w:space="0" w:color="auto"/>
        <w:right w:val="none" w:sz="0" w:space="0" w:color="auto"/>
      </w:divBdr>
    </w:div>
    <w:div w:id="870075464">
      <w:bodyDiv w:val="1"/>
      <w:marLeft w:val="0"/>
      <w:marRight w:val="0"/>
      <w:marTop w:val="0"/>
      <w:marBottom w:val="0"/>
      <w:divBdr>
        <w:top w:val="none" w:sz="0" w:space="0" w:color="auto"/>
        <w:left w:val="none" w:sz="0" w:space="0" w:color="auto"/>
        <w:bottom w:val="none" w:sz="0" w:space="0" w:color="auto"/>
        <w:right w:val="none" w:sz="0" w:space="0" w:color="auto"/>
      </w:divBdr>
    </w:div>
    <w:div w:id="993605503">
      <w:bodyDiv w:val="1"/>
      <w:marLeft w:val="0"/>
      <w:marRight w:val="0"/>
      <w:marTop w:val="0"/>
      <w:marBottom w:val="0"/>
      <w:divBdr>
        <w:top w:val="none" w:sz="0" w:space="0" w:color="auto"/>
        <w:left w:val="none" w:sz="0" w:space="0" w:color="auto"/>
        <w:bottom w:val="none" w:sz="0" w:space="0" w:color="auto"/>
        <w:right w:val="none" w:sz="0" w:space="0" w:color="auto"/>
      </w:divBdr>
    </w:div>
    <w:div w:id="1101803595">
      <w:bodyDiv w:val="1"/>
      <w:marLeft w:val="0"/>
      <w:marRight w:val="0"/>
      <w:marTop w:val="0"/>
      <w:marBottom w:val="0"/>
      <w:divBdr>
        <w:top w:val="none" w:sz="0" w:space="0" w:color="auto"/>
        <w:left w:val="none" w:sz="0" w:space="0" w:color="auto"/>
        <w:bottom w:val="none" w:sz="0" w:space="0" w:color="auto"/>
        <w:right w:val="none" w:sz="0" w:space="0" w:color="auto"/>
      </w:divBdr>
    </w:div>
    <w:div w:id="1242332825">
      <w:bodyDiv w:val="1"/>
      <w:marLeft w:val="0"/>
      <w:marRight w:val="0"/>
      <w:marTop w:val="0"/>
      <w:marBottom w:val="0"/>
      <w:divBdr>
        <w:top w:val="none" w:sz="0" w:space="0" w:color="auto"/>
        <w:left w:val="none" w:sz="0" w:space="0" w:color="auto"/>
        <w:bottom w:val="none" w:sz="0" w:space="0" w:color="auto"/>
        <w:right w:val="none" w:sz="0" w:space="0" w:color="auto"/>
      </w:divBdr>
    </w:div>
    <w:div w:id="1388606826">
      <w:bodyDiv w:val="1"/>
      <w:marLeft w:val="0"/>
      <w:marRight w:val="0"/>
      <w:marTop w:val="0"/>
      <w:marBottom w:val="0"/>
      <w:divBdr>
        <w:top w:val="none" w:sz="0" w:space="0" w:color="auto"/>
        <w:left w:val="none" w:sz="0" w:space="0" w:color="auto"/>
        <w:bottom w:val="none" w:sz="0" w:space="0" w:color="auto"/>
        <w:right w:val="none" w:sz="0" w:space="0" w:color="auto"/>
      </w:divBdr>
    </w:div>
    <w:div w:id="1425998246">
      <w:bodyDiv w:val="1"/>
      <w:marLeft w:val="0"/>
      <w:marRight w:val="0"/>
      <w:marTop w:val="0"/>
      <w:marBottom w:val="0"/>
      <w:divBdr>
        <w:top w:val="none" w:sz="0" w:space="0" w:color="auto"/>
        <w:left w:val="none" w:sz="0" w:space="0" w:color="auto"/>
        <w:bottom w:val="none" w:sz="0" w:space="0" w:color="auto"/>
        <w:right w:val="none" w:sz="0" w:space="0" w:color="auto"/>
      </w:divBdr>
    </w:div>
    <w:div w:id="1615408423">
      <w:bodyDiv w:val="1"/>
      <w:marLeft w:val="0"/>
      <w:marRight w:val="0"/>
      <w:marTop w:val="0"/>
      <w:marBottom w:val="0"/>
      <w:divBdr>
        <w:top w:val="none" w:sz="0" w:space="0" w:color="auto"/>
        <w:left w:val="none" w:sz="0" w:space="0" w:color="auto"/>
        <w:bottom w:val="none" w:sz="0" w:space="0" w:color="auto"/>
        <w:right w:val="none" w:sz="0" w:space="0" w:color="auto"/>
      </w:divBdr>
    </w:div>
    <w:div w:id="1796679637">
      <w:bodyDiv w:val="1"/>
      <w:marLeft w:val="0"/>
      <w:marRight w:val="0"/>
      <w:marTop w:val="0"/>
      <w:marBottom w:val="0"/>
      <w:divBdr>
        <w:top w:val="none" w:sz="0" w:space="0" w:color="auto"/>
        <w:left w:val="none" w:sz="0" w:space="0" w:color="auto"/>
        <w:bottom w:val="none" w:sz="0" w:space="0" w:color="auto"/>
        <w:right w:val="none" w:sz="0" w:space="0" w:color="auto"/>
      </w:divBdr>
    </w:div>
    <w:div w:id="1965887487">
      <w:bodyDiv w:val="1"/>
      <w:marLeft w:val="0"/>
      <w:marRight w:val="0"/>
      <w:marTop w:val="0"/>
      <w:marBottom w:val="0"/>
      <w:divBdr>
        <w:top w:val="none" w:sz="0" w:space="0" w:color="auto"/>
        <w:left w:val="none" w:sz="0" w:space="0" w:color="auto"/>
        <w:bottom w:val="none" w:sz="0" w:space="0" w:color="auto"/>
        <w:right w:val="none" w:sz="0" w:space="0" w:color="auto"/>
      </w:divBdr>
    </w:div>
    <w:div w:id="2092697003">
      <w:bodyDiv w:val="1"/>
      <w:marLeft w:val="0"/>
      <w:marRight w:val="0"/>
      <w:marTop w:val="0"/>
      <w:marBottom w:val="0"/>
      <w:divBdr>
        <w:top w:val="none" w:sz="0" w:space="0" w:color="auto"/>
        <w:left w:val="none" w:sz="0" w:space="0" w:color="auto"/>
        <w:bottom w:val="none" w:sz="0" w:space="0" w:color="auto"/>
        <w:right w:val="none" w:sz="0" w:space="0" w:color="auto"/>
      </w:divBdr>
    </w:div>
    <w:div w:id="211316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2455</Words>
  <Characters>13994</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Hughes</dc:creator>
  <cp:keywords/>
  <dc:description/>
  <cp:lastModifiedBy>Aidan Hughes</cp:lastModifiedBy>
  <cp:revision>2</cp:revision>
  <cp:lastPrinted>2021-03-06T12:46:00Z</cp:lastPrinted>
  <dcterms:created xsi:type="dcterms:W3CDTF">2021-03-11T12:20:00Z</dcterms:created>
  <dcterms:modified xsi:type="dcterms:W3CDTF">2021-03-11T12:20:00Z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TInitials">
    <vt:lpwstr>PE</vt:lpwstr>
  </property>
  <property fmtid="{D5CDD505-2E9C-101B-9397-08002B2CF9AE}" pid="3" name="iManOInitials">
    <vt:lpwstr>PE</vt:lpwstr>
  </property>
  <property fmtid="{D5CDD505-2E9C-101B-9397-08002B2CF9AE}" pid="4" name="IWFooter">
    <vt:lpwstr>MHC-24659428-1</vt:lpwstr>
  </property>
  <property fmtid="{D5CDD505-2E9C-101B-9397-08002B2CF9AE}" pid="5" name="IWOwner">
    <vt:lpwstr>PEGAN</vt:lpwstr>
  </property>
  <property fmtid="{D5CDD505-2E9C-101B-9397-08002B2CF9AE}" pid="6" name="IWOwnerName">
    <vt:lpwstr>Paul Egan SC</vt:lpwstr>
  </property>
  <property fmtid="{D5CDD505-2E9C-101B-9397-08002B2CF9AE}" pid="7" name="IWClientNum">
    <vt:lpwstr>N00132</vt:lpwstr>
  </property>
  <property fmtid="{D5CDD505-2E9C-101B-9397-08002B2CF9AE}" pid="8" name="IWClientName">
    <vt:lpwstr>Norish Limited</vt:lpwstr>
  </property>
  <property fmtid="{D5CDD505-2E9C-101B-9397-08002B2CF9AE}" pid="9" name="IWMatterNum">
    <vt:lpwstr>167</vt:lpwstr>
  </property>
  <property fmtid="{D5CDD505-2E9C-101B-9397-08002B2CF9AE}" pid="10" name="IWMatterDesc">
    <vt:lpwstr>All matters 2019</vt:lpwstr>
  </property>
  <property fmtid="{D5CDD505-2E9C-101B-9397-08002B2CF9AE}" pid="11" name="IWOurRef">
    <vt:lpwstr>PE</vt:lpwstr>
  </property>
  <property fmtid="{D5CDD505-2E9C-101B-9397-08002B2CF9AE}" pid="12" name="IWClientMatter">
    <vt:lpwstr>N00132/167</vt:lpwstr>
  </property>
</Properties>
</file>