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18E49" w14:textId="77777777" w:rsidR="00534BAE" w:rsidRPr="00A456C9" w:rsidRDefault="00534BAE" w:rsidP="00534BAE">
      <w:pPr>
        <w:pStyle w:val="NoSpacing"/>
        <w:rPr>
          <w:rFonts w:ascii="Arial" w:hAnsi="Arial" w:cs="Arial"/>
          <w:sz w:val="22"/>
          <w:szCs w:val="22"/>
        </w:rPr>
      </w:pPr>
    </w:p>
    <w:p w14:paraId="0F8C8933" w14:textId="1998971B" w:rsidR="00534BAE" w:rsidRPr="00A456C9" w:rsidRDefault="00534BAE" w:rsidP="00534BAE">
      <w:pPr>
        <w:pStyle w:val="NoSpacing"/>
        <w:rPr>
          <w:rFonts w:ascii="Arial" w:hAnsi="Arial" w:cs="Arial"/>
          <w:sz w:val="22"/>
          <w:szCs w:val="22"/>
        </w:rPr>
      </w:pPr>
      <w:r w:rsidRPr="00A456C9">
        <w:rPr>
          <w:rFonts w:ascii="Arial" w:hAnsi="Arial" w:cs="Arial"/>
          <w:sz w:val="22"/>
          <w:szCs w:val="22"/>
        </w:rPr>
        <w:t>THIS ANNOUNCEMENT AND THE INFORMATION CONTAINED HEREIN IS RESTRICTED AND IS NOT FOR RELEASE, PUBLICATION OR DISTRIBUTION, IN WHOLE OR IN PART, DIRECTLY OR INDIRECTLY, IN, INTO OR FROM THE UNITED STATES, AUSTRALIA, CANADA, THE REPUBLIC OF SOUTH AFRICA</w:t>
      </w:r>
      <w:r w:rsidR="00E56E2E">
        <w:rPr>
          <w:rFonts w:ascii="Arial" w:hAnsi="Arial" w:cs="Arial"/>
          <w:sz w:val="22"/>
          <w:szCs w:val="22"/>
        </w:rPr>
        <w:t>, NEW ZEALAND</w:t>
      </w:r>
      <w:r w:rsidR="00E56E2E">
        <w:rPr>
          <w:rStyle w:val="FootnoteReference"/>
          <w:rFonts w:ascii="Arial" w:hAnsi="Arial" w:cs="Arial"/>
          <w:sz w:val="22"/>
          <w:szCs w:val="22"/>
        </w:rPr>
        <w:footnoteReference w:id="1"/>
      </w:r>
      <w:r w:rsidR="00E56E2E">
        <w:rPr>
          <w:rFonts w:ascii="Arial" w:hAnsi="Arial" w:cs="Arial"/>
          <w:sz w:val="22"/>
          <w:szCs w:val="22"/>
        </w:rPr>
        <w:t xml:space="preserve"> </w:t>
      </w:r>
      <w:r w:rsidRPr="00A456C9">
        <w:rPr>
          <w:rFonts w:ascii="Arial" w:hAnsi="Arial" w:cs="Arial"/>
          <w:sz w:val="22"/>
          <w:szCs w:val="22"/>
        </w:rPr>
        <w:t>OR JAPAN</w:t>
      </w:r>
      <w:r w:rsidR="00E56E2E">
        <w:rPr>
          <w:rFonts w:ascii="Arial" w:hAnsi="Arial" w:cs="Arial"/>
          <w:sz w:val="22"/>
          <w:szCs w:val="22"/>
        </w:rPr>
        <w:t xml:space="preserve"> </w:t>
      </w:r>
      <w:r w:rsidRPr="00A456C9">
        <w:rPr>
          <w:rFonts w:ascii="Arial" w:hAnsi="Arial" w:cs="Arial"/>
          <w:sz w:val="22"/>
          <w:szCs w:val="22"/>
        </w:rPr>
        <w:t>OR ANY OTHER JURISDICTION IN WHICH SUCH RELEASE, PUBLICATION OR DISTRIBUTION WOULD BE UNLAWFUL. PLEASE SEE THE IMPORTANT NOTICES AT THE END OF THIS ANNOUNCEMENT.</w:t>
      </w:r>
    </w:p>
    <w:p w14:paraId="1D78149D" w14:textId="77777777" w:rsidR="00534BAE" w:rsidRPr="00A456C9" w:rsidRDefault="00534BAE" w:rsidP="00534BAE">
      <w:pPr>
        <w:pStyle w:val="NoSpacing"/>
        <w:rPr>
          <w:rFonts w:ascii="Arial" w:hAnsi="Arial" w:cs="Arial"/>
          <w:sz w:val="22"/>
          <w:szCs w:val="22"/>
        </w:rPr>
      </w:pPr>
    </w:p>
    <w:p w14:paraId="22BB8F86" w14:textId="77777777" w:rsidR="00534BAE" w:rsidRPr="00A456C9" w:rsidRDefault="00534BAE" w:rsidP="00534BAE">
      <w:pPr>
        <w:pStyle w:val="NoSpacing"/>
        <w:rPr>
          <w:rFonts w:ascii="Arial" w:hAnsi="Arial" w:cs="Arial"/>
          <w:sz w:val="22"/>
          <w:szCs w:val="22"/>
        </w:rPr>
      </w:pPr>
      <w:r w:rsidRPr="00A456C9">
        <w:rPr>
          <w:rFonts w:ascii="Arial" w:hAnsi="Arial" w:cs="Arial"/>
          <w:sz w:val="22"/>
          <w:szCs w:val="22"/>
        </w:rPr>
        <w:t>THIS ANNOUNCEMENT IS FOR INFORMATION PURPOSES ONLY AND DOES NOT CONSTITUTE OR CONTAIN ANY INVITATION, SOLICITATION, RECOMMENDATION, OFFER OR ADVICE TO ANY PERSON TO PURCHASE AND/OR SUBSCRIBE FOR, OTHERWISE ACQUIRE OR DISPOSE OF ANY SECURITIES IN ROEBUCK FOOD GROUP PLC OR ANY OTHER ENTITY IN ANY JURISDICTION. NEITHER THIS ANNOUNCEMENT NOR THE FACT OF ITS DISTRIBUTION, SHALL FORM THE BASIS OF, OR BE RELIED ON IN CONNECTION WITH ANY INVESTMENT DECISION IN RESPECT OF ROEBUCK FOOD GROUP PLC</w:t>
      </w:r>
    </w:p>
    <w:p w14:paraId="107DBBE8" w14:textId="77777777" w:rsidR="00534BAE" w:rsidRPr="00A456C9" w:rsidRDefault="00534BAE" w:rsidP="00534BAE">
      <w:pPr>
        <w:pStyle w:val="NoSpacing"/>
        <w:rPr>
          <w:rFonts w:ascii="Arial" w:hAnsi="Arial" w:cs="Arial"/>
          <w:sz w:val="22"/>
          <w:szCs w:val="22"/>
        </w:rPr>
      </w:pPr>
    </w:p>
    <w:p w14:paraId="429E7DE9" w14:textId="77777777" w:rsidR="00534BAE" w:rsidRPr="00A456C9" w:rsidRDefault="00534BAE" w:rsidP="00534BAE">
      <w:pPr>
        <w:pStyle w:val="NoSpacing"/>
        <w:rPr>
          <w:rFonts w:ascii="Arial" w:hAnsi="Arial" w:cs="Arial"/>
          <w:sz w:val="22"/>
          <w:szCs w:val="22"/>
        </w:rPr>
      </w:pPr>
      <w:r w:rsidRPr="00A456C9">
        <w:rPr>
          <w:rFonts w:ascii="Arial" w:hAnsi="Arial" w:cs="Arial"/>
          <w:sz w:val="22"/>
          <w:szCs w:val="22"/>
        </w:rPr>
        <w:t>THE INFORMATION CONTAINED WITHIN THIS ANNOUNCEMENT IS DEEMED BY THE COMPANY TO CONSTITUTE INSIDE INFORMATION AS STIPULATED UNDER THE MARKET ABUSE REGULATION (EU) NO. 596/2014 BOTH GENERALLY AND AS IT FORMS PART OF UK DOMESTIC LAW PURSUANT TO THE EUROPEAN UNION (WITHDRAWAL) ACT 2018, AS AMENDED. UPON THE PUBLICATION OF THIS ANNOUNCEMENT VIA A REGULATORY INFORMATION SERVICE, THIS INFORMATION IS CONSIDERED TO BE IN THE PUBLIC DOMAIN.</w:t>
      </w:r>
    </w:p>
    <w:p w14:paraId="55512A30" w14:textId="77777777" w:rsidR="00534BAE" w:rsidRPr="00A456C9" w:rsidRDefault="00534BAE" w:rsidP="00534BAE">
      <w:pPr>
        <w:pStyle w:val="NoSpacing"/>
        <w:rPr>
          <w:rFonts w:ascii="Arial" w:hAnsi="Arial" w:cs="Arial"/>
          <w:sz w:val="22"/>
          <w:szCs w:val="22"/>
        </w:rPr>
      </w:pPr>
    </w:p>
    <w:p w14:paraId="25CC4569" w14:textId="77777777" w:rsidR="00534BAE" w:rsidRPr="00A456C9" w:rsidRDefault="00534BAE" w:rsidP="00534BAE">
      <w:pPr>
        <w:pStyle w:val="NoSpacing"/>
        <w:rPr>
          <w:rFonts w:ascii="Arial" w:hAnsi="Arial" w:cs="Arial"/>
          <w:sz w:val="22"/>
          <w:szCs w:val="22"/>
        </w:rPr>
      </w:pPr>
      <w:r w:rsidRPr="00A456C9">
        <w:rPr>
          <w:rFonts w:ascii="Arial" w:hAnsi="Arial" w:cs="Arial"/>
          <w:sz w:val="22"/>
          <w:szCs w:val="22"/>
        </w:rPr>
        <w:t>For immediate release</w:t>
      </w:r>
    </w:p>
    <w:p w14:paraId="288F9C0C" w14:textId="0FFD7CB4" w:rsidR="00534BAE" w:rsidRPr="00A456C9" w:rsidRDefault="00CC0863" w:rsidP="00534BAE">
      <w:pPr>
        <w:pStyle w:val="NoSpacing"/>
        <w:rPr>
          <w:rFonts w:ascii="Arial" w:hAnsi="Arial" w:cs="Arial"/>
          <w:sz w:val="22"/>
          <w:szCs w:val="22"/>
        </w:rPr>
      </w:pPr>
      <w:r>
        <w:rPr>
          <w:rFonts w:ascii="Arial" w:hAnsi="Arial" w:cs="Arial"/>
          <w:sz w:val="22"/>
          <w:szCs w:val="22"/>
        </w:rPr>
        <w:t>5</w:t>
      </w:r>
      <w:r w:rsidR="00534BAE" w:rsidRPr="00A456C9">
        <w:rPr>
          <w:rFonts w:ascii="Arial" w:hAnsi="Arial" w:cs="Arial"/>
          <w:sz w:val="22"/>
          <w:szCs w:val="22"/>
        </w:rPr>
        <w:t xml:space="preserve"> </w:t>
      </w:r>
      <w:r w:rsidR="00534BAE">
        <w:rPr>
          <w:rFonts w:ascii="Arial" w:hAnsi="Arial" w:cs="Arial"/>
          <w:sz w:val="22"/>
          <w:szCs w:val="22"/>
        </w:rPr>
        <w:t xml:space="preserve">November </w:t>
      </w:r>
      <w:r w:rsidR="00534BAE" w:rsidRPr="00A456C9">
        <w:rPr>
          <w:rFonts w:ascii="Arial" w:hAnsi="Arial" w:cs="Arial"/>
          <w:sz w:val="22"/>
          <w:szCs w:val="22"/>
        </w:rPr>
        <w:t>202</w:t>
      </w:r>
      <w:r w:rsidR="00534BAE">
        <w:rPr>
          <w:rFonts w:ascii="Arial" w:hAnsi="Arial" w:cs="Arial"/>
          <w:sz w:val="22"/>
          <w:szCs w:val="22"/>
        </w:rPr>
        <w:t>6</w:t>
      </w:r>
    </w:p>
    <w:p w14:paraId="2862361A" w14:textId="77777777" w:rsidR="00534BAE" w:rsidRPr="00A456C9" w:rsidRDefault="00534BAE" w:rsidP="00534BAE">
      <w:pPr>
        <w:pStyle w:val="NoSpacing"/>
        <w:jc w:val="center"/>
        <w:rPr>
          <w:rFonts w:ascii="Arial" w:hAnsi="Arial" w:cs="Arial"/>
          <w:sz w:val="22"/>
          <w:szCs w:val="22"/>
        </w:rPr>
      </w:pPr>
    </w:p>
    <w:p w14:paraId="5AC250B2" w14:textId="77777777" w:rsidR="00534BAE" w:rsidRPr="00A456C9" w:rsidRDefault="00534BAE" w:rsidP="00534BAE">
      <w:pPr>
        <w:spacing w:line="278" w:lineRule="auto"/>
        <w:jc w:val="center"/>
        <w:rPr>
          <w:rFonts w:ascii="Arial" w:hAnsi="Arial" w:cs="Arial"/>
          <w:sz w:val="22"/>
          <w:szCs w:val="22"/>
        </w:rPr>
      </w:pPr>
      <w:r w:rsidRPr="00A456C9">
        <w:rPr>
          <w:rFonts w:ascii="Arial" w:hAnsi="Arial" w:cs="Arial"/>
          <w:b/>
          <w:bCs/>
          <w:sz w:val="22"/>
          <w:szCs w:val="22"/>
        </w:rPr>
        <w:t>ROEBUCK FOOD GROUP PLC</w:t>
      </w:r>
    </w:p>
    <w:p w14:paraId="6B9EA0EA" w14:textId="77777777" w:rsidR="00534BAE" w:rsidRDefault="00534BAE" w:rsidP="00534BAE">
      <w:pPr>
        <w:jc w:val="center"/>
        <w:rPr>
          <w:rFonts w:ascii="Arial" w:hAnsi="Arial" w:cs="Arial"/>
          <w:b/>
          <w:bCs/>
          <w:sz w:val="22"/>
          <w:szCs w:val="22"/>
        </w:rPr>
      </w:pPr>
      <w:r w:rsidRPr="00A456C9">
        <w:rPr>
          <w:rFonts w:ascii="Arial" w:hAnsi="Arial" w:cs="Arial"/>
          <w:b/>
          <w:bCs/>
          <w:sz w:val="22"/>
          <w:szCs w:val="22"/>
        </w:rPr>
        <w:t>Result of Placing and Subscription</w:t>
      </w:r>
    </w:p>
    <w:p w14:paraId="3F90328F" w14:textId="77777777" w:rsidR="00534BAE" w:rsidRPr="00BD45AA" w:rsidRDefault="00534BAE" w:rsidP="00534BAE">
      <w:pPr>
        <w:jc w:val="center"/>
        <w:rPr>
          <w:rFonts w:ascii="Arial" w:hAnsi="Arial" w:cs="Arial"/>
          <w:b/>
          <w:bCs/>
          <w:sz w:val="22"/>
          <w:szCs w:val="22"/>
        </w:rPr>
      </w:pPr>
      <w:r w:rsidRPr="00BD45AA">
        <w:rPr>
          <w:rFonts w:ascii="Arial" w:hAnsi="Arial" w:cs="Arial"/>
          <w:b/>
          <w:bCs/>
          <w:sz w:val="22"/>
          <w:szCs w:val="22"/>
        </w:rPr>
        <w:t>Close of Capital Access Window and Resumption of Trading</w:t>
      </w:r>
    </w:p>
    <w:p w14:paraId="19F0740A" w14:textId="77777777" w:rsidR="00534BAE" w:rsidRPr="00A456C9" w:rsidRDefault="00534BAE" w:rsidP="00534BAE">
      <w:pPr>
        <w:spacing w:line="278" w:lineRule="auto"/>
        <w:rPr>
          <w:rFonts w:ascii="Arial" w:hAnsi="Arial" w:cs="Arial"/>
          <w:sz w:val="22"/>
          <w:szCs w:val="22"/>
        </w:rPr>
      </w:pPr>
    </w:p>
    <w:p w14:paraId="38A0602D" w14:textId="77777777" w:rsidR="00534BAE" w:rsidRPr="00A456C9" w:rsidRDefault="00534BAE" w:rsidP="00534BAE">
      <w:pPr>
        <w:spacing w:line="278" w:lineRule="auto"/>
        <w:jc w:val="both"/>
        <w:rPr>
          <w:rFonts w:ascii="Arial" w:hAnsi="Arial" w:cs="Arial"/>
          <w:sz w:val="22"/>
          <w:szCs w:val="22"/>
        </w:rPr>
      </w:pPr>
      <w:r w:rsidRPr="00A456C9">
        <w:rPr>
          <w:rFonts w:ascii="Arial" w:hAnsi="Arial" w:cs="Arial"/>
          <w:b/>
          <w:bCs/>
          <w:sz w:val="22"/>
          <w:szCs w:val="22"/>
        </w:rPr>
        <w:t>Introduction</w:t>
      </w:r>
    </w:p>
    <w:p w14:paraId="7B966F31" w14:textId="77777777" w:rsidR="00534BAE" w:rsidRDefault="00534BAE" w:rsidP="00534BAE">
      <w:pPr>
        <w:spacing w:line="278" w:lineRule="auto"/>
        <w:jc w:val="both"/>
        <w:rPr>
          <w:rFonts w:ascii="Arial" w:hAnsi="Arial" w:cs="Arial"/>
          <w:sz w:val="22"/>
          <w:szCs w:val="22"/>
        </w:rPr>
      </w:pPr>
      <w:r w:rsidRPr="00A456C9">
        <w:rPr>
          <w:rFonts w:ascii="Arial" w:hAnsi="Arial" w:cs="Arial"/>
          <w:sz w:val="22"/>
          <w:szCs w:val="22"/>
        </w:rPr>
        <w:t>Roebuck Food Group plc</w:t>
      </w:r>
      <w:r>
        <w:rPr>
          <w:rFonts w:ascii="Arial" w:hAnsi="Arial" w:cs="Arial"/>
          <w:sz w:val="22"/>
          <w:szCs w:val="22"/>
        </w:rPr>
        <w:t xml:space="preserve"> </w:t>
      </w:r>
      <w:r w:rsidRPr="00A456C9">
        <w:rPr>
          <w:rFonts w:ascii="Arial" w:hAnsi="Arial" w:cs="Arial"/>
          <w:sz w:val="22"/>
          <w:szCs w:val="22"/>
        </w:rPr>
        <w:t>("</w:t>
      </w:r>
      <w:r w:rsidRPr="00A456C9">
        <w:rPr>
          <w:rFonts w:ascii="Arial" w:hAnsi="Arial" w:cs="Arial"/>
          <w:b/>
          <w:bCs/>
          <w:sz w:val="22"/>
          <w:szCs w:val="22"/>
        </w:rPr>
        <w:t>the Company</w:t>
      </w:r>
      <w:r w:rsidRPr="00A456C9">
        <w:rPr>
          <w:rFonts w:ascii="Arial" w:hAnsi="Arial" w:cs="Arial"/>
          <w:sz w:val="22"/>
          <w:szCs w:val="22"/>
        </w:rPr>
        <w:t>" or "</w:t>
      </w:r>
      <w:r w:rsidRPr="00A456C9">
        <w:rPr>
          <w:rFonts w:ascii="Arial" w:hAnsi="Arial" w:cs="Arial"/>
          <w:b/>
          <w:bCs/>
          <w:sz w:val="22"/>
          <w:szCs w:val="22"/>
        </w:rPr>
        <w:t>Roebuck</w:t>
      </w:r>
      <w:r w:rsidRPr="00A456C9">
        <w:rPr>
          <w:rFonts w:ascii="Arial" w:hAnsi="Arial" w:cs="Arial"/>
          <w:sz w:val="22"/>
          <w:szCs w:val="22"/>
        </w:rPr>
        <w:t>") (AIM: RFG</w:t>
      </w:r>
      <w:r>
        <w:rPr>
          <w:rFonts w:ascii="Arial" w:hAnsi="Arial" w:cs="Arial"/>
          <w:sz w:val="22"/>
          <w:szCs w:val="22"/>
        </w:rPr>
        <w:t>)</w:t>
      </w:r>
      <w:r w:rsidRPr="00A456C9">
        <w:rPr>
          <w:rFonts w:ascii="Arial" w:hAnsi="Arial" w:cs="Arial"/>
          <w:sz w:val="22"/>
          <w:szCs w:val="22"/>
        </w:rPr>
        <w:t xml:space="preserve"> is pleased to announce that, further to the announcement made on </w:t>
      </w:r>
      <w:r>
        <w:rPr>
          <w:rFonts w:ascii="Arial" w:hAnsi="Arial" w:cs="Arial"/>
          <w:sz w:val="22"/>
          <w:szCs w:val="22"/>
        </w:rPr>
        <w:t xml:space="preserve">30 October 2026 </w:t>
      </w:r>
      <w:r w:rsidRPr="00A456C9">
        <w:rPr>
          <w:rFonts w:ascii="Arial" w:hAnsi="Arial" w:cs="Arial"/>
          <w:sz w:val="22"/>
          <w:szCs w:val="22"/>
        </w:rPr>
        <w:t>(the "</w:t>
      </w:r>
      <w:r w:rsidRPr="00A456C9">
        <w:rPr>
          <w:rFonts w:ascii="Arial" w:hAnsi="Arial" w:cs="Arial"/>
          <w:b/>
          <w:bCs/>
          <w:sz w:val="22"/>
          <w:szCs w:val="22"/>
        </w:rPr>
        <w:t>Launch Announcement</w:t>
      </w:r>
      <w:r w:rsidRPr="00A456C9">
        <w:rPr>
          <w:rFonts w:ascii="Arial" w:hAnsi="Arial" w:cs="Arial"/>
          <w:sz w:val="22"/>
          <w:szCs w:val="22"/>
        </w:rPr>
        <w:t xml:space="preserve">") regarding </w:t>
      </w:r>
      <w:r>
        <w:rPr>
          <w:rFonts w:ascii="Arial" w:hAnsi="Arial" w:cs="Arial"/>
          <w:sz w:val="22"/>
          <w:szCs w:val="22"/>
        </w:rPr>
        <w:t xml:space="preserve">the launch of </w:t>
      </w:r>
      <w:r w:rsidRPr="00A456C9">
        <w:rPr>
          <w:rFonts w:ascii="Arial" w:hAnsi="Arial" w:cs="Arial"/>
          <w:sz w:val="22"/>
          <w:szCs w:val="22"/>
        </w:rPr>
        <w:t>a proposed placing of ordinary shares (the "</w:t>
      </w:r>
      <w:r w:rsidRPr="00A456C9">
        <w:rPr>
          <w:rFonts w:ascii="Arial" w:hAnsi="Arial" w:cs="Arial"/>
          <w:b/>
          <w:bCs/>
          <w:sz w:val="22"/>
          <w:szCs w:val="22"/>
        </w:rPr>
        <w:t>Placing</w:t>
      </w:r>
      <w:r w:rsidRPr="00A456C9">
        <w:rPr>
          <w:rFonts w:ascii="Arial" w:hAnsi="Arial" w:cs="Arial"/>
          <w:sz w:val="22"/>
          <w:szCs w:val="22"/>
        </w:rPr>
        <w:t>") and related subscription</w:t>
      </w:r>
      <w:r>
        <w:rPr>
          <w:rFonts w:ascii="Arial" w:hAnsi="Arial" w:cs="Arial"/>
          <w:sz w:val="22"/>
          <w:szCs w:val="22"/>
        </w:rPr>
        <w:t xml:space="preserve"> (the “</w:t>
      </w:r>
      <w:r w:rsidRPr="001443F6">
        <w:rPr>
          <w:rFonts w:ascii="Arial" w:hAnsi="Arial" w:cs="Arial"/>
          <w:b/>
          <w:bCs/>
          <w:sz w:val="22"/>
          <w:szCs w:val="22"/>
        </w:rPr>
        <w:t>Subscription</w:t>
      </w:r>
      <w:r>
        <w:rPr>
          <w:rFonts w:ascii="Arial" w:hAnsi="Arial" w:cs="Arial"/>
          <w:sz w:val="22"/>
          <w:szCs w:val="22"/>
        </w:rPr>
        <w:t>”)</w:t>
      </w:r>
      <w:r w:rsidRPr="00A456C9">
        <w:rPr>
          <w:rFonts w:ascii="Arial" w:hAnsi="Arial" w:cs="Arial"/>
          <w:sz w:val="22"/>
          <w:szCs w:val="22"/>
        </w:rPr>
        <w:t>, to raise up to €</w:t>
      </w:r>
      <w:r>
        <w:rPr>
          <w:rFonts w:ascii="Arial" w:hAnsi="Arial" w:cs="Arial"/>
          <w:sz w:val="22"/>
          <w:szCs w:val="22"/>
        </w:rPr>
        <w:t>10</w:t>
      </w:r>
      <w:r w:rsidRPr="00A456C9">
        <w:rPr>
          <w:rFonts w:ascii="Arial" w:hAnsi="Arial" w:cs="Arial"/>
          <w:sz w:val="22"/>
          <w:szCs w:val="22"/>
        </w:rPr>
        <w:t xml:space="preserve"> million</w:t>
      </w:r>
      <w:r>
        <w:rPr>
          <w:rFonts w:ascii="Arial" w:hAnsi="Arial" w:cs="Arial"/>
          <w:sz w:val="22"/>
          <w:szCs w:val="22"/>
        </w:rPr>
        <w:t>:</w:t>
      </w:r>
    </w:p>
    <w:p w14:paraId="5534AAA1" w14:textId="77777777" w:rsidR="00534BAE" w:rsidRDefault="00534BAE" w:rsidP="00534BAE">
      <w:pPr>
        <w:spacing w:line="278" w:lineRule="auto"/>
        <w:jc w:val="both"/>
        <w:rPr>
          <w:rFonts w:ascii="Arial" w:hAnsi="Arial" w:cs="Arial"/>
          <w:sz w:val="22"/>
          <w:szCs w:val="22"/>
        </w:rPr>
      </w:pPr>
    </w:p>
    <w:p w14:paraId="6082B7D4" w14:textId="1A0E38A7" w:rsidR="00534BAE" w:rsidRPr="00C82F2F" w:rsidRDefault="00534BAE" w:rsidP="00534BAE">
      <w:pPr>
        <w:pStyle w:val="ListParagraph"/>
        <w:numPr>
          <w:ilvl w:val="0"/>
          <w:numId w:val="1"/>
        </w:numPr>
        <w:jc w:val="both"/>
        <w:rPr>
          <w:rFonts w:ascii="Arial" w:hAnsi="Arial" w:cs="Arial"/>
          <w:sz w:val="22"/>
          <w:szCs w:val="22"/>
        </w:rPr>
      </w:pPr>
      <w:r>
        <w:rPr>
          <w:rFonts w:ascii="Arial" w:hAnsi="Arial" w:cs="Arial"/>
          <w:sz w:val="22"/>
          <w:szCs w:val="22"/>
        </w:rPr>
        <w:t xml:space="preserve">the Placing and Subscription have now </w:t>
      </w:r>
      <w:proofErr w:type="gramStart"/>
      <w:r>
        <w:rPr>
          <w:rFonts w:ascii="Arial" w:hAnsi="Arial" w:cs="Arial"/>
          <w:sz w:val="22"/>
          <w:szCs w:val="22"/>
        </w:rPr>
        <w:t>closed</w:t>
      </w:r>
      <w:proofErr w:type="gramEnd"/>
      <w:r>
        <w:rPr>
          <w:rFonts w:ascii="Arial" w:hAnsi="Arial" w:cs="Arial"/>
          <w:sz w:val="22"/>
          <w:szCs w:val="22"/>
        </w:rPr>
        <w:t xml:space="preserve"> and the Company has raised in aggregate </w:t>
      </w:r>
      <w:r w:rsidRPr="00756901">
        <w:rPr>
          <w:rFonts w:ascii="Arial" w:hAnsi="Arial" w:cs="Arial"/>
          <w:sz w:val="22"/>
          <w:szCs w:val="22"/>
        </w:rPr>
        <w:t>€</w:t>
      </w:r>
      <w:r w:rsidR="008817F4" w:rsidRPr="00CC0863">
        <w:rPr>
          <w:rFonts w:ascii="Arial" w:hAnsi="Arial" w:cs="Arial"/>
          <w:sz w:val="22"/>
          <w:szCs w:val="22"/>
        </w:rPr>
        <w:t>9.0</w:t>
      </w:r>
      <w:r>
        <w:rPr>
          <w:rFonts w:ascii="Arial" w:hAnsi="Arial" w:cs="Arial"/>
          <w:sz w:val="22"/>
          <w:szCs w:val="22"/>
        </w:rPr>
        <w:t xml:space="preserve"> million; </w:t>
      </w:r>
    </w:p>
    <w:p w14:paraId="79354587" w14:textId="77777777" w:rsidR="00CC0863" w:rsidRDefault="00534BAE" w:rsidP="00534BAE">
      <w:pPr>
        <w:pStyle w:val="ListParagraph"/>
        <w:numPr>
          <w:ilvl w:val="0"/>
          <w:numId w:val="1"/>
        </w:numPr>
        <w:jc w:val="both"/>
        <w:rPr>
          <w:rFonts w:ascii="Arial" w:hAnsi="Arial" w:cs="Arial"/>
          <w:sz w:val="22"/>
          <w:szCs w:val="22"/>
        </w:rPr>
      </w:pPr>
      <w:r w:rsidRPr="00756901">
        <w:rPr>
          <w:rFonts w:ascii="Arial" w:hAnsi="Arial" w:cs="Arial"/>
          <w:sz w:val="22"/>
          <w:szCs w:val="22"/>
        </w:rPr>
        <w:t xml:space="preserve">an aggregate of </w:t>
      </w:r>
      <w:r w:rsidR="008817F4" w:rsidRPr="00CC0863">
        <w:rPr>
          <w:rFonts w:ascii="Arial" w:hAnsi="Arial" w:cs="Arial"/>
          <w:sz w:val="22"/>
          <w:szCs w:val="22"/>
        </w:rPr>
        <w:t>62,291,</w:t>
      </w:r>
      <w:r w:rsidR="008817F4">
        <w:rPr>
          <w:rFonts w:ascii="Arial" w:hAnsi="Arial" w:cs="Arial"/>
          <w:bCs/>
          <w:sz w:val="20"/>
          <w:szCs w:val="20"/>
          <w:lang w:val="en-GB"/>
        </w:rPr>
        <w:t>018</w:t>
      </w:r>
      <w:r w:rsidRPr="00756901">
        <w:rPr>
          <w:rFonts w:ascii="Arial" w:hAnsi="Arial" w:cs="Arial"/>
          <w:sz w:val="22"/>
          <w:szCs w:val="22"/>
        </w:rPr>
        <w:t xml:space="preserve"> new ordinary shares of €0.025 each ("</w:t>
      </w:r>
      <w:r w:rsidRPr="00756901">
        <w:rPr>
          <w:rFonts w:ascii="Arial" w:hAnsi="Arial" w:cs="Arial"/>
          <w:b/>
          <w:bCs/>
          <w:sz w:val="22"/>
          <w:szCs w:val="22"/>
        </w:rPr>
        <w:t>Ordinary Shares</w:t>
      </w:r>
      <w:r w:rsidRPr="00756901">
        <w:rPr>
          <w:rFonts w:ascii="Arial" w:hAnsi="Arial" w:cs="Arial"/>
          <w:sz w:val="22"/>
          <w:szCs w:val="22"/>
        </w:rPr>
        <w:t>") in the capital of the Company (the "</w:t>
      </w:r>
      <w:r w:rsidRPr="00756901">
        <w:rPr>
          <w:rFonts w:ascii="Arial" w:hAnsi="Arial" w:cs="Arial"/>
          <w:b/>
          <w:bCs/>
          <w:sz w:val="22"/>
          <w:szCs w:val="22"/>
        </w:rPr>
        <w:t>Placing Shares</w:t>
      </w:r>
      <w:r w:rsidRPr="00756901">
        <w:rPr>
          <w:rFonts w:ascii="Arial" w:hAnsi="Arial" w:cs="Arial"/>
          <w:sz w:val="22"/>
          <w:szCs w:val="22"/>
        </w:rPr>
        <w:t>") have been successfully placed by J &amp; E Davy Unlimited Company ("</w:t>
      </w:r>
      <w:r w:rsidRPr="00756901">
        <w:rPr>
          <w:rFonts w:ascii="Arial" w:hAnsi="Arial" w:cs="Arial"/>
          <w:b/>
          <w:bCs/>
          <w:sz w:val="22"/>
          <w:szCs w:val="22"/>
        </w:rPr>
        <w:t>Davy</w:t>
      </w:r>
      <w:r w:rsidRPr="00756901">
        <w:rPr>
          <w:rFonts w:ascii="Arial" w:hAnsi="Arial" w:cs="Arial"/>
          <w:sz w:val="22"/>
          <w:szCs w:val="22"/>
        </w:rPr>
        <w:t>") at a price of 9 pence per Placing Share (the "</w:t>
      </w:r>
      <w:r w:rsidRPr="00756901">
        <w:rPr>
          <w:rFonts w:ascii="Arial" w:hAnsi="Arial" w:cs="Arial"/>
          <w:b/>
          <w:bCs/>
          <w:sz w:val="22"/>
          <w:szCs w:val="22"/>
        </w:rPr>
        <w:t>Placing Price</w:t>
      </w:r>
      <w:r w:rsidRPr="00756901">
        <w:rPr>
          <w:rFonts w:ascii="Arial" w:hAnsi="Arial" w:cs="Arial"/>
          <w:sz w:val="22"/>
          <w:szCs w:val="22"/>
        </w:rPr>
        <w:t>") to raise gross proceeds of approximately €</w:t>
      </w:r>
      <w:r w:rsidR="008817F4" w:rsidRPr="00CC0863">
        <w:rPr>
          <w:rFonts w:ascii="Arial" w:hAnsi="Arial" w:cs="Arial"/>
          <w:sz w:val="22"/>
          <w:szCs w:val="22"/>
        </w:rPr>
        <w:t>6.73</w:t>
      </w:r>
      <w:r w:rsidRPr="00CC0863">
        <w:rPr>
          <w:rFonts w:ascii="Arial" w:hAnsi="Arial" w:cs="Arial"/>
          <w:sz w:val="22"/>
          <w:szCs w:val="22"/>
        </w:rPr>
        <w:t xml:space="preserve"> </w:t>
      </w:r>
      <w:r w:rsidRPr="00756901">
        <w:rPr>
          <w:rFonts w:ascii="Arial" w:hAnsi="Arial" w:cs="Arial"/>
          <w:sz w:val="22"/>
          <w:szCs w:val="22"/>
        </w:rPr>
        <w:t>million</w:t>
      </w:r>
      <w:r>
        <w:rPr>
          <w:rFonts w:ascii="Arial" w:hAnsi="Arial" w:cs="Arial"/>
          <w:sz w:val="22"/>
          <w:szCs w:val="22"/>
        </w:rPr>
        <w:t xml:space="preserve">; </w:t>
      </w:r>
    </w:p>
    <w:p w14:paraId="0B8A2EF9" w14:textId="22FDAF28" w:rsidR="00E56E2E" w:rsidRPr="00CC0863" w:rsidRDefault="00534BAE" w:rsidP="00534BAE">
      <w:pPr>
        <w:pStyle w:val="ListParagraph"/>
        <w:numPr>
          <w:ilvl w:val="0"/>
          <w:numId w:val="1"/>
        </w:numPr>
        <w:jc w:val="both"/>
        <w:rPr>
          <w:rFonts w:ascii="Arial" w:hAnsi="Arial" w:cs="Arial"/>
          <w:sz w:val="22"/>
          <w:szCs w:val="22"/>
        </w:rPr>
      </w:pPr>
      <w:r w:rsidRPr="00CC0863">
        <w:rPr>
          <w:rFonts w:ascii="Arial" w:hAnsi="Arial" w:cs="Arial"/>
          <w:sz w:val="22"/>
          <w:szCs w:val="22"/>
        </w:rPr>
        <w:t xml:space="preserve">the Company has received direct agreements to subscribe for </w:t>
      </w:r>
      <w:r w:rsidR="008817F4" w:rsidRPr="00CC0863">
        <w:rPr>
          <w:rFonts w:ascii="Arial" w:hAnsi="Arial" w:cs="Arial"/>
          <w:sz w:val="22"/>
          <w:szCs w:val="22"/>
        </w:rPr>
        <w:t>21,022,999</w:t>
      </w:r>
      <w:r w:rsidRPr="00CC0863">
        <w:rPr>
          <w:rFonts w:ascii="Arial" w:hAnsi="Arial" w:cs="Arial"/>
          <w:sz w:val="22"/>
          <w:szCs w:val="22"/>
        </w:rPr>
        <w:t xml:space="preserve"> Ordinary Shares (the "</w:t>
      </w:r>
      <w:r w:rsidRPr="00CC0863">
        <w:rPr>
          <w:rFonts w:ascii="Arial" w:hAnsi="Arial" w:cs="Arial"/>
          <w:b/>
          <w:bCs/>
          <w:sz w:val="22"/>
          <w:szCs w:val="22"/>
        </w:rPr>
        <w:t>Subscription</w:t>
      </w:r>
      <w:r w:rsidRPr="00CC0863">
        <w:rPr>
          <w:rFonts w:ascii="Arial" w:hAnsi="Arial" w:cs="Arial"/>
          <w:sz w:val="22"/>
          <w:szCs w:val="22"/>
        </w:rPr>
        <w:t>") (the “</w:t>
      </w:r>
      <w:r w:rsidRPr="00CC0863">
        <w:rPr>
          <w:rFonts w:ascii="Arial" w:hAnsi="Arial" w:cs="Arial"/>
          <w:b/>
          <w:bCs/>
          <w:sz w:val="22"/>
          <w:szCs w:val="22"/>
        </w:rPr>
        <w:t>Subscription Shares</w:t>
      </w:r>
      <w:r w:rsidRPr="00CC0863">
        <w:rPr>
          <w:rFonts w:ascii="Arial" w:hAnsi="Arial" w:cs="Arial"/>
          <w:sz w:val="22"/>
          <w:szCs w:val="22"/>
        </w:rPr>
        <w:t>”) at the Placing Price from certain investors unable to participate in the Placing to raise gross proceeds of approximately €</w:t>
      </w:r>
      <w:r w:rsidR="008817F4" w:rsidRPr="00CC0863">
        <w:rPr>
          <w:rFonts w:ascii="Arial" w:hAnsi="Arial" w:cs="Arial"/>
          <w:sz w:val="22"/>
          <w:szCs w:val="22"/>
        </w:rPr>
        <w:t>2.27</w:t>
      </w:r>
      <w:r w:rsidRPr="00CC0863">
        <w:rPr>
          <w:rFonts w:ascii="Arial" w:hAnsi="Arial" w:cs="Arial"/>
          <w:sz w:val="22"/>
          <w:szCs w:val="22"/>
        </w:rPr>
        <w:t xml:space="preserve"> million.</w:t>
      </w:r>
    </w:p>
    <w:p w14:paraId="4D50625C" w14:textId="77777777" w:rsidR="00E56E2E" w:rsidRDefault="00E56E2E" w:rsidP="00534BAE">
      <w:pPr>
        <w:rPr>
          <w:rFonts w:ascii="Arial" w:hAnsi="Arial" w:cs="Arial"/>
          <w:sz w:val="22"/>
          <w:szCs w:val="22"/>
        </w:rPr>
      </w:pPr>
    </w:p>
    <w:p w14:paraId="3F35BD13" w14:textId="4F38B3A3" w:rsidR="00534BAE" w:rsidRPr="00C82F2F" w:rsidRDefault="00534BAE" w:rsidP="00534BAE">
      <w:pPr>
        <w:rPr>
          <w:rFonts w:ascii="Arial" w:hAnsi="Arial" w:cs="Arial"/>
          <w:sz w:val="22"/>
          <w:szCs w:val="22"/>
        </w:rPr>
      </w:pPr>
      <w:r w:rsidRPr="00C82F2F">
        <w:rPr>
          <w:rFonts w:ascii="Arial" w:hAnsi="Arial" w:cs="Arial"/>
          <w:sz w:val="22"/>
          <w:szCs w:val="22"/>
        </w:rPr>
        <w:t>Capitalised terms used in this announcement ("</w:t>
      </w:r>
      <w:r w:rsidRPr="00C82F2F">
        <w:rPr>
          <w:rFonts w:ascii="Arial" w:hAnsi="Arial" w:cs="Arial"/>
          <w:b/>
          <w:bCs/>
          <w:sz w:val="22"/>
          <w:szCs w:val="22"/>
        </w:rPr>
        <w:t>this Announcement</w:t>
      </w:r>
      <w:r w:rsidRPr="00C82F2F">
        <w:rPr>
          <w:rFonts w:ascii="Arial" w:hAnsi="Arial" w:cs="Arial"/>
          <w:sz w:val="22"/>
          <w:szCs w:val="22"/>
        </w:rPr>
        <w:t>") have the meanings given to them in the Launch Announcement unless the context provides otherwise.</w:t>
      </w:r>
    </w:p>
    <w:p w14:paraId="0BA36124" w14:textId="77777777" w:rsidR="00534BAE" w:rsidRDefault="00534BAE" w:rsidP="00534BAE">
      <w:pPr>
        <w:spacing w:line="278" w:lineRule="auto"/>
        <w:jc w:val="both"/>
        <w:rPr>
          <w:rFonts w:ascii="Arial" w:hAnsi="Arial" w:cs="Arial"/>
          <w:b/>
          <w:bCs/>
          <w:sz w:val="22"/>
          <w:szCs w:val="22"/>
        </w:rPr>
      </w:pPr>
    </w:p>
    <w:p w14:paraId="15D25063" w14:textId="77777777" w:rsidR="00534BAE" w:rsidRPr="00BD45AA" w:rsidRDefault="00534BAE" w:rsidP="00534BAE">
      <w:pPr>
        <w:spacing w:line="278" w:lineRule="auto"/>
        <w:jc w:val="both"/>
        <w:rPr>
          <w:rFonts w:ascii="Arial" w:hAnsi="Arial" w:cs="Arial"/>
          <w:b/>
          <w:bCs/>
          <w:sz w:val="22"/>
          <w:szCs w:val="22"/>
        </w:rPr>
      </w:pPr>
      <w:r w:rsidRPr="00BD45AA">
        <w:rPr>
          <w:rFonts w:ascii="Arial" w:hAnsi="Arial" w:cs="Arial"/>
          <w:b/>
          <w:bCs/>
          <w:sz w:val="22"/>
          <w:szCs w:val="22"/>
        </w:rPr>
        <w:t xml:space="preserve">Closure of Capital Access Window </w:t>
      </w:r>
    </w:p>
    <w:p w14:paraId="4062A32E" w14:textId="688F5759" w:rsidR="00534BAE" w:rsidRPr="00BD45AA" w:rsidRDefault="00534BAE" w:rsidP="00534BAE">
      <w:pPr>
        <w:spacing w:line="278" w:lineRule="auto"/>
        <w:jc w:val="both"/>
        <w:rPr>
          <w:rFonts w:ascii="Arial" w:hAnsi="Arial" w:cs="Arial"/>
          <w:sz w:val="22"/>
          <w:szCs w:val="22"/>
        </w:rPr>
      </w:pPr>
      <w:r w:rsidRPr="00BD45AA">
        <w:rPr>
          <w:rFonts w:ascii="Arial" w:hAnsi="Arial" w:cs="Arial"/>
          <w:sz w:val="22"/>
          <w:szCs w:val="22"/>
        </w:rPr>
        <w:t xml:space="preserve">Following completion of the </w:t>
      </w:r>
      <w:r w:rsidR="00E56E2E">
        <w:rPr>
          <w:rFonts w:ascii="Arial" w:hAnsi="Arial" w:cs="Arial"/>
          <w:sz w:val="22"/>
          <w:szCs w:val="22"/>
        </w:rPr>
        <w:t>Fundraising</w:t>
      </w:r>
      <w:r w:rsidRPr="00BD45AA">
        <w:rPr>
          <w:rFonts w:ascii="Arial" w:hAnsi="Arial" w:cs="Arial"/>
          <w:sz w:val="22"/>
          <w:szCs w:val="22"/>
        </w:rPr>
        <w:t>, the Company confirms that the Capital Access Window, which commenced at 7.30 am on 2 November 2026 as detailed in the Launch Announcement, is now closed. Accordingly, trading in the Company's Ordinary Shares is expected to resume on AIM at 8.00 am on</w:t>
      </w:r>
      <w:r>
        <w:rPr>
          <w:rFonts w:ascii="Arial" w:hAnsi="Arial" w:cs="Arial"/>
          <w:sz w:val="22"/>
          <w:szCs w:val="22"/>
        </w:rPr>
        <w:t xml:space="preserve"> </w:t>
      </w:r>
      <w:r>
        <w:rPr>
          <w:rFonts w:ascii="Arial" w:hAnsi="Arial" w:cs="Arial"/>
          <w:bCs/>
          <w:sz w:val="20"/>
          <w:szCs w:val="20"/>
          <w:lang w:val="en-GB"/>
        </w:rPr>
        <w:t>6</w:t>
      </w:r>
      <w:r w:rsidRPr="00BD45AA">
        <w:rPr>
          <w:rFonts w:ascii="Arial" w:hAnsi="Arial" w:cs="Arial"/>
          <w:sz w:val="22"/>
          <w:szCs w:val="22"/>
        </w:rPr>
        <w:t xml:space="preserve"> November 2026.</w:t>
      </w:r>
    </w:p>
    <w:p w14:paraId="231B04EA" w14:textId="77777777" w:rsidR="00534BAE" w:rsidRDefault="00534BAE" w:rsidP="00534BAE">
      <w:pPr>
        <w:spacing w:line="278" w:lineRule="auto"/>
        <w:jc w:val="both"/>
        <w:rPr>
          <w:rFonts w:ascii="Arial" w:hAnsi="Arial" w:cs="Arial"/>
          <w:b/>
          <w:bCs/>
          <w:sz w:val="22"/>
          <w:szCs w:val="22"/>
        </w:rPr>
      </w:pPr>
    </w:p>
    <w:p w14:paraId="5E983962" w14:textId="77777777" w:rsidR="00534BAE" w:rsidRPr="00A456C9" w:rsidRDefault="00534BAE" w:rsidP="00534BAE">
      <w:pPr>
        <w:spacing w:line="278" w:lineRule="auto"/>
        <w:jc w:val="both"/>
        <w:rPr>
          <w:rFonts w:ascii="Arial" w:hAnsi="Arial" w:cs="Arial"/>
          <w:sz w:val="22"/>
          <w:szCs w:val="22"/>
        </w:rPr>
      </w:pPr>
      <w:r w:rsidRPr="00560601">
        <w:rPr>
          <w:rFonts w:ascii="Arial" w:hAnsi="Arial" w:cs="Arial"/>
          <w:b/>
          <w:bCs/>
          <w:sz w:val="22"/>
          <w:szCs w:val="22"/>
        </w:rPr>
        <w:t>The Placing and</w:t>
      </w:r>
      <w:r w:rsidRPr="00A456C9">
        <w:rPr>
          <w:rFonts w:ascii="Arial" w:hAnsi="Arial" w:cs="Arial"/>
          <w:b/>
          <w:bCs/>
          <w:sz w:val="22"/>
          <w:szCs w:val="22"/>
        </w:rPr>
        <w:t xml:space="preserve"> settlement</w:t>
      </w:r>
    </w:p>
    <w:p w14:paraId="10DE3D2C" w14:textId="0B8D207C" w:rsidR="00534BAE" w:rsidRDefault="00534BAE" w:rsidP="00534BAE">
      <w:pPr>
        <w:spacing w:line="278" w:lineRule="auto"/>
        <w:jc w:val="both"/>
        <w:rPr>
          <w:rFonts w:ascii="Arial" w:hAnsi="Arial" w:cs="Arial"/>
          <w:sz w:val="22"/>
          <w:szCs w:val="22"/>
        </w:rPr>
      </w:pPr>
      <w:r w:rsidRPr="00A456C9">
        <w:rPr>
          <w:rFonts w:ascii="Arial" w:hAnsi="Arial" w:cs="Arial"/>
          <w:sz w:val="22"/>
          <w:szCs w:val="22"/>
        </w:rPr>
        <w:t xml:space="preserve">The Placing Shares and Subscription Shares, when issued, will represent approximately </w:t>
      </w:r>
      <w:r w:rsidR="008817F4">
        <w:rPr>
          <w:rFonts w:ascii="Arial" w:hAnsi="Arial" w:cs="Arial"/>
          <w:bCs/>
          <w:sz w:val="20"/>
          <w:szCs w:val="20"/>
          <w:lang w:val="en-GB"/>
        </w:rPr>
        <w:t>45.2</w:t>
      </w:r>
      <w:r w:rsidRPr="00A456C9">
        <w:rPr>
          <w:rFonts w:ascii="Arial" w:hAnsi="Arial" w:cs="Arial"/>
          <w:sz w:val="22"/>
          <w:szCs w:val="22"/>
        </w:rPr>
        <w:t xml:space="preserve">% per cent. of the Company's Ordinary Shares. The Placing Price of </w:t>
      </w:r>
      <w:r>
        <w:rPr>
          <w:rFonts w:ascii="Arial" w:hAnsi="Arial" w:cs="Arial"/>
          <w:sz w:val="22"/>
          <w:szCs w:val="22"/>
        </w:rPr>
        <w:t>9</w:t>
      </w:r>
      <w:r w:rsidRPr="00A456C9">
        <w:rPr>
          <w:rFonts w:ascii="Arial" w:hAnsi="Arial" w:cs="Arial"/>
          <w:sz w:val="22"/>
          <w:szCs w:val="22"/>
        </w:rPr>
        <w:t xml:space="preserve"> pence per share represents a discount of approximately </w:t>
      </w:r>
      <w:r w:rsidR="008817F4">
        <w:rPr>
          <w:rFonts w:ascii="Arial" w:hAnsi="Arial" w:cs="Arial"/>
          <w:bCs/>
          <w:sz w:val="20"/>
          <w:szCs w:val="20"/>
          <w:lang w:val="en-GB"/>
        </w:rPr>
        <w:t>56.1</w:t>
      </w:r>
      <w:r w:rsidRPr="00A456C9">
        <w:rPr>
          <w:rFonts w:ascii="Arial" w:hAnsi="Arial" w:cs="Arial"/>
          <w:sz w:val="22"/>
          <w:szCs w:val="22"/>
        </w:rPr>
        <w:t xml:space="preserve">% per cent. to the closing mid-market price of </w:t>
      </w:r>
      <w:r w:rsidRPr="00752B40">
        <w:rPr>
          <w:rFonts w:ascii="Arial" w:hAnsi="Arial" w:cs="Arial"/>
          <w:sz w:val="22"/>
          <w:szCs w:val="22"/>
        </w:rPr>
        <w:t>20.5</w:t>
      </w:r>
      <w:r w:rsidRPr="00A456C9">
        <w:rPr>
          <w:rFonts w:ascii="Arial" w:hAnsi="Arial" w:cs="Arial"/>
          <w:sz w:val="22"/>
          <w:szCs w:val="22"/>
        </w:rPr>
        <w:t xml:space="preserve"> pence per Ordinary Share on </w:t>
      </w:r>
      <w:r>
        <w:rPr>
          <w:rFonts w:ascii="Arial" w:hAnsi="Arial" w:cs="Arial"/>
          <w:sz w:val="22"/>
          <w:szCs w:val="22"/>
        </w:rPr>
        <w:t>30</w:t>
      </w:r>
      <w:r w:rsidRPr="00A456C9">
        <w:rPr>
          <w:rFonts w:ascii="Arial" w:hAnsi="Arial" w:cs="Arial"/>
          <w:sz w:val="22"/>
          <w:szCs w:val="22"/>
        </w:rPr>
        <w:t xml:space="preserve"> </w:t>
      </w:r>
      <w:r>
        <w:rPr>
          <w:rFonts w:ascii="Arial" w:hAnsi="Arial" w:cs="Arial"/>
          <w:sz w:val="22"/>
          <w:szCs w:val="22"/>
        </w:rPr>
        <w:t>October</w:t>
      </w:r>
      <w:r w:rsidRPr="00A456C9">
        <w:rPr>
          <w:rFonts w:ascii="Arial" w:hAnsi="Arial" w:cs="Arial"/>
          <w:sz w:val="22"/>
          <w:szCs w:val="22"/>
        </w:rPr>
        <w:t xml:space="preserve"> 202</w:t>
      </w:r>
      <w:r>
        <w:rPr>
          <w:rFonts w:ascii="Arial" w:hAnsi="Arial" w:cs="Arial"/>
          <w:sz w:val="22"/>
          <w:szCs w:val="22"/>
        </w:rPr>
        <w:t>6</w:t>
      </w:r>
      <w:r w:rsidRPr="00A456C9">
        <w:rPr>
          <w:rFonts w:ascii="Arial" w:hAnsi="Arial" w:cs="Arial"/>
          <w:sz w:val="22"/>
          <w:szCs w:val="22"/>
        </w:rPr>
        <w:t xml:space="preserve"> (being the last</w:t>
      </w:r>
      <w:r>
        <w:rPr>
          <w:rFonts w:ascii="Arial" w:hAnsi="Arial" w:cs="Arial"/>
          <w:sz w:val="22"/>
          <w:szCs w:val="22"/>
        </w:rPr>
        <w:t xml:space="preserve"> practicable date</w:t>
      </w:r>
      <w:r w:rsidRPr="00A456C9">
        <w:rPr>
          <w:rFonts w:ascii="Arial" w:hAnsi="Arial" w:cs="Arial"/>
          <w:sz w:val="22"/>
          <w:szCs w:val="22"/>
        </w:rPr>
        <w:t xml:space="preserve"> prior to the publication of the Launch Announcement</w:t>
      </w:r>
      <w:r>
        <w:rPr>
          <w:rFonts w:ascii="Arial" w:hAnsi="Arial" w:cs="Arial"/>
          <w:sz w:val="22"/>
          <w:szCs w:val="22"/>
        </w:rPr>
        <w:t>)</w:t>
      </w:r>
      <w:r w:rsidRPr="00A456C9">
        <w:rPr>
          <w:rFonts w:ascii="Arial" w:hAnsi="Arial" w:cs="Arial"/>
          <w:sz w:val="22"/>
          <w:szCs w:val="22"/>
        </w:rPr>
        <w:t>.</w:t>
      </w:r>
    </w:p>
    <w:p w14:paraId="38DD68EC" w14:textId="77777777" w:rsidR="00534BAE" w:rsidRPr="00A456C9" w:rsidRDefault="00534BAE" w:rsidP="00534BAE">
      <w:pPr>
        <w:spacing w:line="278" w:lineRule="auto"/>
        <w:jc w:val="both"/>
        <w:rPr>
          <w:rFonts w:ascii="Arial" w:hAnsi="Arial" w:cs="Arial"/>
          <w:sz w:val="22"/>
          <w:szCs w:val="22"/>
        </w:rPr>
      </w:pPr>
    </w:p>
    <w:p w14:paraId="333EF31A" w14:textId="77777777" w:rsidR="005453C9" w:rsidRDefault="00534BAE" w:rsidP="00534BAE">
      <w:pPr>
        <w:spacing w:line="278" w:lineRule="auto"/>
        <w:jc w:val="both"/>
        <w:rPr>
          <w:rFonts w:ascii="Arial" w:hAnsi="Arial" w:cs="Arial"/>
          <w:sz w:val="22"/>
          <w:szCs w:val="22"/>
        </w:rPr>
      </w:pPr>
      <w:r w:rsidRPr="00A456C9">
        <w:rPr>
          <w:rFonts w:ascii="Arial" w:hAnsi="Arial" w:cs="Arial"/>
          <w:sz w:val="22"/>
          <w:szCs w:val="22"/>
        </w:rPr>
        <w:t>The Placing Shares and Subscription Shares, when issued, will be fully paid and will rank pari passu in all respects with the Existing Ordinary Shares, including the right to receive all dividends and other distributions declared, made or paid after the date of issue.</w:t>
      </w:r>
      <w:r w:rsidR="005453C9">
        <w:rPr>
          <w:rFonts w:ascii="Arial" w:hAnsi="Arial" w:cs="Arial"/>
          <w:sz w:val="22"/>
          <w:szCs w:val="22"/>
        </w:rPr>
        <w:t xml:space="preserve"> </w:t>
      </w:r>
    </w:p>
    <w:p w14:paraId="6E247E28" w14:textId="77777777" w:rsidR="005453C9" w:rsidRDefault="005453C9" w:rsidP="00534BAE">
      <w:pPr>
        <w:spacing w:line="278" w:lineRule="auto"/>
        <w:jc w:val="both"/>
        <w:rPr>
          <w:rFonts w:ascii="Arial" w:hAnsi="Arial" w:cs="Arial"/>
          <w:sz w:val="22"/>
          <w:szCs w:val="22"/>
        </w:rPr>
      </w:pPr>
    </w:p>
    <w:p w14:paraId="565E685C" w14:textId="1100FE32" w:rsidR="00534BAE" w:rsidRDefault="00534BAE" w:rsidP="00534BAE">
      <w:pPr>
        <w:spacing w:line="278" w:lineRule="auto"/>
        <w:jc w:val="both"/>
        <w:rPr>
          <w:rFonts w:ascii="Arial" w:hAnsi="Arial" w:cs="Arial"/>
          <w:sz w:val="22"/>
          <w:szCs w:val="22"/>
        </w:rPr>
      </w:pPr>
      <w:r w:rsidRPr="00A456C9">
        <w:rPr>
          <w:rFonts w:ascii="Arial" w:hAnsi="Arial" w:cs="Arial"/>
          <w:sz w:val="22"/>
          <w:szCs w:val="22"/>
        </w:rPr>
        <w:t>Application will be made for the Placing Shares and Subscription Shares to be admitted to trading on AIM ("</w:t>
      </w:r>
      <w:r w:rsidRPr="00A456C9">
        <w:rPr>
          <w:rFonts w:ascii="Arial" w:hAnsi="Arial" w:cs="Arial"/>
          <w:b/>
          <w:bCs/>
          <w:sz w:val="22"/>
          <w:szCs w:val="22"/>
        </w:rPr>
        <w:t>Admission</w:t>
      </w:r>
      <w:r w:rsidRPr="00A456C9">
        <w:rPr>
          <w:rFonts w:ascii="Arial" w:hAnsi="Arial" w:cs="Arial"/>
          <w:sz w:val="22"/>
          <w:szCs w:val="22"/>
        </w:rPr>
        <w:t xml:space="preserve">"). It is expected that Admission will take place at or around 8.00 a.m. on </w:t>
      </w:r>
      <w:r>
        <w:rPr>
          <w:rFonts w:ascii="Arial" w:hAnsi="Arial" w:cs="Arial"/>
          <w:sz w:val="22"/>
          <w:szCs w:val="22"/>
        </w:rPr>
        <w:t>1</w:t>
      </w:r>
      <w:r w:rsidRPr="00A456C9">
        <w:rPr>
          <w:rFonts w:ascii="Arial" w:hAnsi="Arial" w:cs="Arial"/>
          <w:sz w:val="22"/>
          <w:szCs w:val="22"/>
        </w:rPr>
        <w:t xml:space="preserve"> </w:t>
      </w:r>
      <w:r>
        <w:rPr>
          <w:rFonts w:ascii="Arial" w:hAnsi="Arial" w:cs="Arial"/>
          <w:sz w:val="22"/>
          <w:szCs w:val="22"/>
        </w:rPr>
        <w:t xml:space="preserve">December </w:t>
      </w:r>
      <w:r w:rsidRPr="00A456C9">
        <w:rPr>
          <w:rFonts w:ascii="Arial" w:hAnsi="Arial" w:cs="Arial"/>
          <w:sz w:val="22"/>
          <w:szCs w:val="22"/>
        </w:rPr>
        <w:t>202</w:t>
      </w:r>
      <w:r>
        <w:rPr>
          <w:rFonts w:ascii="Arial" w:hAnsi="Arial" w:cs="Arial"/>
          <w:sz w:val="22"/>
          <w:szCs w:val="22"/>
        </w:rPr>
        <w:t>6</w:t>
      </w:r>
      <w:r w:rsidRPr="00A456C9">
        <w:rPr>
          <w:rFonts w:ascii="Arial" w:hAnsi="Arial" w:cs="Arial"/>
          <w:sz w:val="22"/>
          <w:szCs w:val="22"/>
        </w:rPr>
        <w:t xml:space="preserve"> and that dealings in the Placing Shares and Subscription Shares on AIM will commence at the same time.</w:t>
      </w:r>
    </w:p>
    <w:p w14:paraId="7ED672AD" w14:textId="77777777" w:rsidR="00534BAE" w:rsidRPr="00A456C9" w:rsidRDefault="00534BAE" w:rsidP="00534BAE">
      <w:pPr>
        <w:spacing w:line="278" w:lineRule="auto"/>
        <w:jc w:val="both"/>
        <w:rPr>
          <w:rFonts w:ascii="Arial" w:hAnsi="Arial" w:cs="Arial"/>
          <w:sz w:val="22"/>
          <w:szCs w:val="22"/>
        </w:rPr>
      </w:pPr>
    </w:p>
    <w:p w14:paraId="03FA4E36" w14:textId="3C2C1365" w:rsidR="00534BAE" w:rsidRPr="00A456C9" w:rsidRDefault="00534BAE" w:rsidP="00534BAE">
      <w:pPr>
        <w:spacing w:line="278" w:lineRule="auto"/>
        <w:jc w:val="both"/>
        <w:rPr>
          <w:rFonts w:ascii="Arial" w:hAnsi="Arial" w:cs="Arial"/>
          <w:sz w:val="22"/>
          <w:szCs w:val="22"/>
        </w:rPr>
      </w:pPr>
      <w:r w:rsidRPr="00A456C9">
        <w:rPr>
          <w:rFonts w:ascii="Arial" w:hAnsi="Arial" w:cs="Arial"/>
          <w:sz w:val="22"/>
          <w:szCs w:val="22"/>
        </w:rPr>
        <w:t>The Placing and Subscription are conditional upon, among other things, the passing of resolutions to be proposed at an EGM of the Company and the Placing Agreement not being terminated in accordance with its terms and admission of the Placing Shares and Subscription Shares to trading on AIM ("</w:t>
      </w:r>
      <w:r w:rsidRPr="00A456C9">
        <w:rPr>
          <w:rFonts w:ascii="Arial" w:hAnsi="Arial" w:cs="Arial"/>
          <w:b/>
          <w:bCs/>
          <w:sz w:val="22"/>
          <w:szCs w:val="22"/>
        </w:rPr>
        <w:t>Admission</w:t>
      </w:r>
      <w:r w:rsidRPr="00A456C9">
        <w:rPr>
          <w:rFonts w:ascii="Arial" w:hAnsi="Arial" w:cs="Arial"/>
          <w:sz w:val="22"/>
          <w:szCs w:val="22"/>
        </w:rPr>
        <w:t xml:space="preserve">") becoming effective.  The date of the EGM has been set for </w:t>
      </w:r>
      <w:r w:rsidRPr="00560601">
        <w:rPr>
          <w:rFonts w:ascii="Arial" w:hAnsi="Arial" w:cs="Arial"/>
          <w:sz w:val="22"/>
          <w:szCs w:val="22"/>
        </w:rPr>
        <w:t xml:space="preserve">30 November 2026. A circular containing the notice of EGM is scheduled to be posted on </w:t>
      </w:r>
      <w:r w:rsidR="006A00FB">
        <w:rPr>
          <w:rFonts w:ascii="Arial" w:hAnsi="Arial" w:cs="Arial"/>
          <w:sz w:val="22"/>
          <w:szCs w:val="22"/>
        </w:rPr>
        <w:t>6</w:t>
      </w:r>
      <w:r w:rsidRPr="00560601">
        <w:rPr>
          <w:rFonts w:ascii="Arial" w:hAnsi="Arial" w:cs="Arial"/>
          <w:sz w:val="22"/>
          <w:szCs w:val="22"/>
        </w:rPr>
        <w:t xml:space="preserve"> November 2026.</w:t>
      </w:r>
    </w:p>
    <w:p w14:paraId="34972EBB" w14:textId="77777777" w:rsidR="00534BAE" w:rsidRPr="00A456C9" w:rsidRDefault="00534BAE" w:rsidP="00534BAE">
      <w:pPr>
        <w:spacing w:line="278" w:lineRule="auto"/>
        <w:jc w:val="both"/>
        <w:rPr>
          <w:rFonts w:ascii="Arial" w:hAnsi="Arial" w:cs="Arial"/>
          <w:sz w:val="22"/>
          <w:szCs w:val="22"/>
        </w:rPr>
      </w:pPr>
      <w:r w:rsidRPr="00A456C9">
        <w:rPr>
          <w:rFonts w:ascii="Arial" w:hAnsi="Arial" w:cs="Arial"/>
          <w:sz w:val="22"/>
          <w:szCs w:val="22"/>
        </w:rPr>
        <w:t xml:space="preserve">Application will be made for Admission. It is expected that Admission will take place at or around 8.00 a.m. on </w:t>
      </w:r>
      <w:r>
        <w:rPr>
          <w:rFonts w:ascii="Arial" w:hAnsi="Arial" w:cs="Arial"/>
          <w:sz w:val="22"/>
          <w:szCs w:val="22"/>
        </w:rPr>
        <w:t>1</w:t>
      </w:r>
      <w:r w:rsidRPr="00A456C9">
        <w:rPr>
          <w:rFonts w:ascii="Arial" w:hAnsi="Arial" w:cs="Arial"/>
          <w:sz w:val="22"/>
          <w:szCs w:val="22"/>
        </w:rPr>
        <w:t xml:space="preserve"> </w:t>
      </w:r>
      <w:r>
        <w:rPr>
          <w:rFonts w:ascii="Arial" w:hAnsi="Arial" w:cs="Arial"/>
          <w:sz w:val="22"/>
          <w:szCs w:val="22"/>
        </w:rPr>
        <w:t xml:space="preserve">December </w:t>
      </w:r>
      <w:r w:rsidRPr="00A456C9">
        <w:rPr>
          <w:rFonts w:ascii="Arial" w:hAnsi="Arial" w:cs="Arial"/>
          <w:sz w:val="22"/>
          <w:szCs w:val="22"/>
        </w:rPr>
        <w:t>202</w:t>
      </w:r>
      <w:r>
        <w:rPr>
          <w:rFonts w:ascii="Arial" w:hAnsi="Arial" w:cs="Arial"/>
          <w:sz w:val="22"/>
          <w:szCs w:val="22"/>
        </w:rPr>
        <w:t xml:space="preserve">6 </w:t>
      </w:r>
      <w:r w:rsidRPr="00A456C9">
        <w:rPr>
          <w:rFonts w:ascii="Arial" w:hAnsi="Arial" w:cs="Arial"/>
          <w:sz w:val="22"/>
          <w:szCs w:val="22"/>
        </w:rPr>
        <w:t>and that dealings in the Placing Shares and Subscription Shares on AIM will commence at the same time</w:t>
      </w:r>
    </w:p>
    <w:p w14:paraId="26E88FDB" w14:textId="77777777" w:rsidR="00534BAE" w:rsidRDefault="00534BAE" w:rsidP="00534BAE">
      <w:pPr>
        <w:spacing w:line="278" w:lineRule="auto"/>
        <w:rPr>
          <w:rFonts w:ascii="Arial" w:hAnsi="Arial" w:cs="Arial"/>
          <w:b/>
          <w:bCs/>
          <w:sz w:val="22"/>
          <w:szCs w:val="22"/>
        </w:rPr>
      </w:pPr>
    </w:p>
    <w:p w14:paraId="42E388D2"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 </w:t>
      </w:r>
    </w:p>
    <w:p w14:paraId="2E04A5F9" w14:textId="77777777" w:rsidR="00534BAE" w:rsidRPr="00A456C9" w:rsidRDefault="00534BAE" w:rsidP="00534BAE">
      <w:pPr>
        <w:spacing w:line="278" w:lineRule="auto"/>
        <w:rPr>
          <w:rFonts w:ascii="Arial" w:hAnsi="Arial" w:cs="Arial"/>
          <w:sz w:val="22"/>
          <w:szCs w:val="22"/>
        </w:rPr>
      </w:pPr>
      <w:r w:rsidRPr="00A456C9">
        <w:rPr>
          <w:rFonts w:ascii="Arial" w:hAnsi="Arial" w:cs="Arial"/>
          <w:b/>
          <w:bCs/>
          <w:sz w:val="22"/>
          <w:szCs w:val="22"/>
        </w:rPr>
        <w:t>Total voting rights</w:t>
      </w:r>
    </w:p>
    <w:p w14:paraId="03601874" w14:textId="028BB5E8" w:rsidR="00534BAE" w:rsidRDefault="00534BAE" w:rsidP="00534BAE">
      <w:pPr>
        <w:spacing w:line="278" w:lineRule="auto"/>
        <w:rPr>
          <w:rFonts w:ascii="Arial" w:hAnsi="Arial" w:cs="Arial"/>
          <w:sz w:val="22"/>
          <w:szCs w:val="22"/>
        </w:rPr>
      </w:pPr>
      <w:r w:rsidRPr="00A456C9">
        <w:rPr>
          <w:rFonts w:ascii="Arial" w:hAnsi="Arial" w:cs="Arial"/>
          <w:sz w:val="22"/>
          <w:szCs w:val="22"/>
        </w:rPr>
        <w:t>Following Admission, the Company will have a total of</w:t>
      </w:r>
      <w:r>
        <w:rPr>
          <w:rFonts w:ascii="Arial" w:hAnsi="Arial" w:cs="Arial"/>
          <w:sz w:val="22"/>
          <w:szCs w:val="22"/>
        </w:rPr>
        <w:t xml:space="preserve"> </w:t>
      </w:r>
      <w:r w:rsidR="00171D79">
        <w:rPr>
          <w:rFonts w:ascii="Arial" w:hAnsi="Arial" w:cs="Arial"/>
          <w:bCs/>
          <w:sz w:val="20"/>
          <w:szCs w:val="20"/>
          <w:lang w:val="en-GB"/>
        </w:rPr>
        <w:t>184,457,961</w:t>
      </w:r>
      <w:r>
        <w:rPr>
          <w:rFonts w:ascii="Arial" w:hAnsi="Arial" w:cs="Arial"/>
          <w:bCs/>
          <w:sz w:val="20"/>
          <w:szCs w:val="20"/>
          <w:lang w:val="en-GB"/>
        </w:rPr>
        <w:t xml:space="preserve"> </w:t>
      </w:r>
      <w:r w:rsidRPr="00A456C9">
        <w:rPr>
          <w:rFonts w:ascii="Arial" w:hAnsi="Arial" w:cs="Arial"/>
          <w:sz w:val="22"/>
          <w:szCs w:val="22"/>
        </w:rPr>
        <w:t>Ordinary Shares in issue.  With effect from Admission, this figure may be used by shareholders as the denominator for the calculations by which they will determine if they are required to notify their interest in, or a change to their interest in the Company, under the Companies Act 2014 of Ireland.</w:t>
      </w:r>
    </w:p>
    <w:p w14:paraId="1896C933" w14:textId="77777777" w:rsidR="00534BAE" w:rsidRDefault="00534BAE" w:rsidP="00534BAE">
      <w:pPr>
        <w:spacing w:line="278" w:lineRule="auto"/>
        <w:rPr>
          <w:rFonts w:ascii="Arial" w:hAnsi="Arial" w:cs="Arial"/>
          <w:sz w:val="22"/>
          <w:szCs w:val="22"/>
        </w:rPr>
      </w:pPr>
    </w:p>
    <w:p w14:paraId="6BB15FB3" w14:textId="77777777" w:rsidR="00534BAE" w:rsidRPr="00A456C9" w:rsidRDefault="00534BAE" w:rsidP="00534BAE">
      <w:pPr>
        <w:spacing w:line="278" w:lineRule="auto"/>
        <w:rPr>
          <w:rFonts w:ascii="Arial" w:hAnsi="Arial" w:cs="Arial"/>
          <w:sz w:val="22"/>
          <w:szCs w:val="22"/>
        </w:rPr>
      </w:pPr>
    </w:p>
    <w:p w14:paraId="0EB13C62" w14:textId="77777777" w:rsidR="00534BAE" w:rsidRDefault="00534BAE" w:rsidP="00534BAE">
      <w:pPr>
        <w:rPr>
          <w:rFonts w:ascii="Arial" w:hAnsi="Arial" w:cs="Arial"/>
          <w:sz w:val="22"/>
          <w:szCs w:val="22"/>
        </w:rPr>
      </w:pPr>
    </w:p>
    <w:p w14:paraId="406633DF"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The directors of the Company accept responsibility for this announcement.</w:t>
      </w:r>
    </w:p>
    <w:p w14:paraId="2BE0DBAA"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Enquiries:</w:t>
      </w:r>
    </w:p>
    <w:p w14:paraId="6C57C094"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lastRenderedPageBreak/>
        <w:t>Roebuck Food Group plc</w:t>
      </w:r>
    </w:p>
    <w:p w14:paraId="7D83D3F7" w14:textId="77777777" w:rsidR="00534BAE" w:rsidRPr="00A456C9" w:rsidRDefault="00534BAE" w:rsidP="00534BAE">
      <w:pPr>
        <w:spacing w:line="278" w:lineRule="auto"/>
        <w:rPr>
          <w:rFonts w:ascii="Arial" w:hAnsi="Arial" w:cs="Arial"/>
          <w:sz w:val="22"/>
          <w:szCs w:val="22"/>
        </w:rPr>
      </w:pPr>
      <w:r w:rsidRPr="00AB12D3">
        <w:rPr>
          <w:rFonts w:ascii="Arial" w:hAnsi="Arial" w:cs="Arial"/>
          <w:sz w:val="22"/>
          <w:szCs w:val="22"/>
        </w:rPr>
        <w:t>Justin McCarthy, CEO            </w:t>
      </w:r>
      <w:r w:rsidRPr="00AB12D3">
        <w:rPr>
          <w:rFonts w:ascii="Arial" w:hAnsi="Arial" w:cs="Arial"/>
          <w:sz w:val="22"/>
          <w:szCs w:val="22"/>
        </w:rPr>
        <w:tab/>
      </w:r>
      <w:r w:rsidRPr="00AB12D3">
        <w:rPr>
          <w:rFonts w:ascii="Arial" w:hAnsi="Arial" w:cs="Arial"/>
          <w:sz w:val="22"/>
          <w:szCs w:val="22"/>
        </w:rPr>
        <w:tab/>
      </w:r>
      <w:r w:rsidRPr="00AB12D3">
        <w:rPr>
          <w:rFonts w:ascii="Arial" w:hAnsi="Arial" w:cs="Arial"/>
          <w:sz w:val="22"/>
          <w:szCs w:val="22"/>
        </w:rPr>
        <w:tab/>
        <w:t>       Telephone: 087 050 9128</w:t>
      </w:r>
    </w:p>
    <w:p w14:paraId="4567A1A4"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J &amp; E Davy Unlimited Company (Broker)</w:t>
      </w:r>
    </w:p>
    <w:p w14:paraId="33B0F49C"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Anthony Farrell                                       </w:t>
      </w:r>
      <w:r>
        <w:rPr>
          <w:rFonts w:ascii="Arial" w:hAnsi="Arial" w:cs="Arial"/>
          <w:sz w:val="22"/>
          <w:szCs w:val="22"/>
        </w:rPr>
        <w:tab/>
      </w:r>
      <w:r>
        <w:rPr>
          <w:rFonts w:ascii="Arial" w:hAnsi="Arial" w:cs="Arial"/>
          <w:sz w:val="22"/>
          <w:szCs w:val="22"/>
        </w:rPr>
        <w:tab/>
      </w:r>
      <w:r w:rsidRPr="00A456C9">
        <w:rPr>
          <w:rFonts w:ascii="Arial" w:hAnsi="Arial" w:cs="Arial"/>
          <w:sz w:val="22"/>
          <w:szCs w:val="22"/>
        </w:rPr>
        <w:t>        Telephone: + 353 1 679 6363</w:t>
      </w:r>
    </w:p>
    <w:p w14:paraId="26A4CAF5"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Niall Gilchrist                                             </w:t>
      </w:r>
      <w:r>
        <w:rPr>
          <w:rFonts w:ascii="Arial" w:hAnsi="Arial" w:cs="Arial"/>
          <w:sz w:val="22"/>
          <w:szCs w:val="22"/>
        </w:rPr>
        <w:tab/>
      </w:r>
      <w:r>
        <w:rPr>
          <w:rFonts w:ascii="Arial" w:hAnsi="Arial" w:cs="Arial"/>
          <w:sz w:val="22"/>
          <w:szCs w:val="22"/>
        </w:rPr>
        <w:tab/>
        <w:t xml:space="preserve">  </w:t>
      </w:r>
      <w:r w:rsidRPr="00A456C9">
        <w:rPr>
          <w:rFonts w:ascii="Arial" w:hAnsi="Arial" w:cs="Arial"/>
          <w:sz w:val="22"/>
          <w:szCs w:val="22"/>
        </w:rPr>
        <w:t>      Telephone: + 353 1 614 2878</w:t>
      </w:r>
    </w:p>
    <w:p w14:paraId="1B0ADB05" w14:textId="77777777" w:rsidR="00534BAE" w:rsidRDefault="00534BAE" w:rsidP="00534BAE">
      <w:pPr>
        <w:rPr>
          <w:rFonts w:ascii="Arial" w:hAnsi="Arial" w:cs="Arial"/>
          <w:sz w:val="22"/>
          <w:szCs w:val="22"/>
        </w:rPr>
      </w:pPr>
    </w:p>
    <w:p w14:paraId="0A810345"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Davy, which is authorised and regulated in Ireland by the Central Bank of Ireland, is acting as the Company's nominated adviser (under the AIM Rules) and broker to the Company</w:t>
      </w:r>
      <w:r>
        <w:rPr>
          <w:rFonts w:ascii="Arial" w:hAnsi="Arial" w:cs="Arial"/>
          <w:sz w:val="22"/>
          <w:szCs w:val="22"/>
        </w:rPr>
        <w:t xml:space="preserve"> in relation to the Placing</w:t>
      </w:r>
      <w:r w:rsidRPr="00A456C9">
        <w:rPr>
          <w:rFonts w:ascii="Arial" w:hAnsi="Arial" w:cs="Arial"/>
          <w:sz w:val="22"/>
          <w:szCs w:val="22"/>
        </w:rPr>
        <w:t>. Davy will not be responsible to any person other than the Company for providing the protections afforded to clients of Davy or for providing advice to any other person in connection with the Placing</w:t>
      </w:r>
      <w:r>
        <w:rPr>
          <w:rFonts w:ascii="Arial" w:hAnsi="Arial" w:cs="Arial"/>
          <w:sz w:val="22"/>
          <w:szCs w:val="22"/>
        </w:rPr>
        <w:t xml:space="preserve"> or the Subscription</w:t>
      </w:r>
      <w:r w:rsidRPr="00A456C9">
        <w:rPr>
          <w:rFonts w:ascii="Arial" w:hAnsi="Arial" w:cs="Arial"/>
          <w:sz w:val="22"/>
          <w:szCs w:val="22"/>
        </w:rPr>
        <w:t>. Davy accepts no liability whatsoever for the accuracy of any information or opinions contained in this Announcement or for the omission of any material information, for which it is not responsible. Davy has not authorised the contents of, or any part of, this Announcement and no liability whatsoever is accepted by Davy for the accuracy of any information.</w:t>
      </w:r>
    </w:p>
    <w:p w14:paraId="1267273D" w14:textId="77777777" w:rsidR="00534BAE" w:rsidRDefault="00534BAE" w:rsidP="00534BAE">
      <w:pPr>
        <w:rPr>
          <w:rFonts w:ascii="Arial" w:hAnsi="Arial" w:cs="Arial"/>
          <w:b/>
          <w:bCs/>
          <w:sz w:val="22"/>
          <w:szCs w:val="22"/>
        </w:rPr>
      </w:pPr>
    </w:p>
    <w:p w14:paraId="1A591957" w14:textId="77777777" w:rsidR="00534BAE" w:rsidRPr="00A456C9" w:rsidRDefault="00534BAE" w:rsidP="00534BAE">
      <w:pPr>
        <w:spacing w:line="278" w:lineRule="auto"/>
        <w:rPr>
          <w:rFonts w:ascii="Arial" w:hAnsi="Arial" w:cs="Arial"/>
          <w:sz w:val="22"/>
          <w:szCs w:val="22"/>
        </w:rPr>
      </w:pPr>
      <w:r w:rsidRPr="00A456C9">
        <w:rPr>
          <w:rFonts w:ascii="Arial" w:hAnsi="Arial" w:cs="Arial"/>
          <w:b/>
          <w:bCs/>
          <w:sz w:val="22"/>
          <w:szCs w:val="22"/>
        </w:rPr>
        <w:t>Information to Distributors</w:t>
      </w:r>
    </w:p>
    <w:p w14:paraId="672DF1B3"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Solely for the purposes of the product governance requirements contained within (a) EU Directive 2014/65/EU on markets in financial instruments, as amended ("</w:t>
      </w:r>
      <w:r w:rsidRPr="00A456C9">
        <w:rPr>
          <w:rFonts w:ascii="Arial" w:hAnsi="Arial" w:cs="Arial"/>
          <w:b/>
          <w:bCs/>
          <w:sz w:val="22"/>
          <w:szCs w:val="22"/>
        </w:rPr>
        <w:t>MiFID II</w:t>
      </w:r>
      <w:r w:rsidRPr="00A456C9">
        <w:rPr>
          <w:rFonts w:ascii="Arial" w:hAnsi="Arial" w:cs="Arial"/>
          <w:sz w:val="22"/>
          <w:szCs w:val="22"/>
        </w:rPr>
        <w:t>"); (b) Articles 9 and 10 of Commission Delegated Directive (EU) 2017/593 supplementing MiFID II; (c) local implementing measures; (d) the foregoing as they form part of the law of the United Kingdom by virtue of the UK European Union (Withdrawal) Act 2018 (together, the "</w:t>
      </w:r>
      <w:r w:rsidRPr="00A456C9">
        <w:rPr>
          <w:rFonts w:ascii="Arial" w:hAnsi="Arial" w:cs="Arial"/>
          <w:b/>
          <w:bCs/>
          <w:sz w:val="22"/>
          <w:szCs w:val="22"/>
        </w:rPr>
        <w:t>MiFID II Product Governance Requirements</w:t>
      </w:r>
      <w:r w:rsidRPr="00A456C9">
        <w:rPr>
          <w:rFonts w:ascii="Arial" w:hAnsi="Arial" w:cs="Arial"/>
          <w:sz w:val="22"/>
          <w:szCs w:val="22"/>
        </w:rPr>
        <w:t>"), and disclaiming all and any liability, whether arising in tort, contract or otherwise, which any "manufacturer" (for the purposes of the MiFID II Product Governance Requirements) may otherwise have with respect thereto, the Placing Shares have been subject to a product approval process, which has determined that such Placing Shares are: (i) compatible with an end target market of retail investors and investors who meet the criteria of professional clients and eligible counterparties, each as defined in MiFID II; and (ii) eligible for distribution through all distribution channels as are permitted by MiFID II (the "</w:t>
      </w:r>
      <w:r w:rsidRPr="00A456C9">
        <w:rPr>
          <w:rFonts w:ascii="Arial" w:hAnsi="Arial" w:cs="Arial"/>
          <w:b/>
          <w:bCs/>
          <w:sz w:val="22"/>
          <w:szCs w:val="22"/>
        </w:rPr>
        <w:t>Target Market Assessment</w:t>
      </w:r>
      <w:r w:rsidRPr="00A456C9">
        <w:rPr>
          <w:rFonts w:ascii="Arial" w:hAnsi="Arial" w:cs="Arial"/>
          <w:sz w:val="22"/>
          <w:szCs w:val="22"/>
        </w:rPr>
        <w:t>").</w:t>
      </w:r>
    </w:p>
    <w:p w14:paraId="689E4AB9"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 xml:space="preserve">Notwithstanding the Target Market Assessment, distributors should note that: the price of the Placing Shares may decline and investors could lose all or part of their investment; the Placing Shares offer no guaranteed income and no capital protection; and an investment in the Placing </w:t>
      </w:r>
      <w:r>
        <w:rPr>
          <w:rFonts w:ascii="Arial" w:hAnsi="Arial" w:cs="Arial"/>
          <w:sz w:val="22"/>
          <w:szCs w:val="22"/>
        </w:rPr>
        <w:t>Shares</w:t>
      </w:r>
      <w:r w:rsidRPr="00A456C9">
        <w:rPr>
          <w:rFonts w:ascii="Arial" w:hAnsi="Arial" w:cs="Arial"/>
          <w:sz w:val="22"/>
          <w:szCs w:val="22"/>
        </w:rPr>
        <w:t xml:space="preserve"> is compatible only with investors who do not need a guaranteed income or capital protection, who (either alone or in conjunction with an appropriate financial or other adviser) are capable of evaluating the merits and risks of such an investment and who have sufficient resources to be able to bear any losses that may result therefrom. The Target Market Assessment is without prejudice to the requirements of any contractual, legal or regulatory selling restrictions in relation to the Placing. Furthermore, it is noted that, notwithstanding the Target Market Assessment, the Bookrunner will only procure investors who meet the criteria of professional clients and eligible counterparties or who are Relevant Persons, as that term is defined in Appendix 1 of the Launch Announcement.</w:t>
      </w:r>
    </w:p>
    <w:p w14:paraId="1BA58E39"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t>For the avoidance of doubt, the Target Market Assessment does not constitute: (a) an assessment of suitability or appropriateness for the purposes of MiFID II; or (b) a recommendation to any investor or group of investors to invest in, or purchase, or take any other action whatsoever with respect to the Placing Shares. Each distributor is responsible for undertaking its own target market assessment in respect of the Placing Shares and determining appropriate distribution channels.</w:t>
      </w:r>
    </w:p>
    <w:p w14:paraId="394DF394" w14:textId="77777777" w:rsidR="00534BAE" w:rsidRPr="00A456C9" w:rsidRDefault="00534BAE" w:rsidP="00534BAE">
      <w:pPr>
        <w:spacing w:line="278" w:lineRule="auto"/>
        <w:rPr>
          <w:rFonts w:ascii="Arial" w:hAnsi="Arial" w:cs="Arial"/>
          <w:sz w:val="22"/>
          <w:szCs w:val="22"/>
        </w:rPr>
      </w:pPr>
      <w:r w:rsidRPr="00A456C9">
        <w:rPr>
          <w:rFonts w:ascii="Arial" w:hAnsi="Arial" w:cs="Arial"/>
          <w:sz w:val="22"/>
          <w:szCs w:val="22"/>
        </w:rPr>
        <w:lastRenderedPageBreak/>
        <w:t xml:space="preserve">This Announcement, the Launch Announcement and </w:t>
      </w:r>
      <w:r>
        <w:rPr>
          <w:rFonts w:ascii="Arial" w:hAnsi="Arial" w:cs="Arial"/>
          <w:sz w:val="22"/>
          <w:szCs w:val="22"/>
        </w:rPr>
        <w:t>any follow-on announcement</w:t>
      </w:r>
      <w:r w:rsidRPr="00A456C9">
        <w:rPr>
          <w:rFonts w:ascii="Arial" w:hAnsi="Arial" w:cs="Arial"/>
          <w:sz w:val="22"/>
          <w:szCs w:val="22"/>
        </w:rPr>
        <w:t xml:space="preserve"> should be read in their entirety.</w:t>
      </w:r>
    </w:p>
    <w:p w14:paraId="7E864A8E" w14:textId="77777777" w:rsidR="00534BAE" w:rsidRPr="00A456C9" w:rsidRDefault="00534BAE" w:rsidP="00534BAE">
      <w:pPr>
        <w:spacing w:line="278" w:lineRule="auto"/>
        <w:rPr>
          <w:rFonts w:ascii="Arial" w:hAnsi="Arial" w:cs="Arial"/>
          <w:sz w:val="22"/>
          <w:szCs w:val="22"/>
        </w:rPr>
      </w:pPr>
      <w:proofErr w:type="gramStart"/>
      <w:r w:rsidRPr="00A456C9">
        <w:rPr>
          <w:rFonts w:ascii="Arial" w:hAnsi="Arial" w:cs="Arial"/>
          <w:sz w:val="22"/>
          <w:szCs w:val="22"/>
        </w:rPr>
        <w:t>In particular, you</w:t>
      </w:r>
      <w:proofErr w:type="gramEnd"/>
      <w:r w:rsidRPr="00A456C9">
        <w:rPr>
          <w:rFonts w:ascii="Arial" w:hAnsi="Arial" w:cs="Arial"/>
          <w:sz w:val="22"/>
          <w:szCs w:val="22"/>
        </w:rPr>
        <w:t xml:space="preserve"> should read and understand the information provided in Appendix 1 of the Launch Announcement.</w:t>
      </w:r>
    </w:p>
    <w:p w14:paraId="00E728F8" w14:textId="77777777" w:rsidR="00534BAE" w:rsidRPr="00A456C9" w:rsidRDefault="00534BAE" w:rsidP="00534BAE">
      <w:pPr>
        <w:spacing w:after="160" w:line="278" w:lineRule="auto"/>
        <w:rPr>
          <w:rFonts w:ascii="Arial" w:hAnsi="Arial" w:cs="Arial"/>
          <w:sz w:val="22"/>
          <w:szCs w:val="22"/>
        </w:rPr>
      </w:pPr>
      <w:r w:rsidRPr="00A456C9">
        <w:rPr>
          <w:rFonts w:ascii="Arial" w:hAnsi="Arial" w:cs="Arial"/>
          <w:sz w:val="22"/>
          <w:szCs w:val="22"/>
        </w:rPr>
        <w:t>This information is provided by RNS, the news service of the London Stock Exchange. RNS </w:t>
      </w:r>
    </w:p>
    <w:p w14:paraId="3F1B5D7A" w14:textId="77777777" w:rsidR="00534BAE" w:rsidRDefault="00534BAE" w:rsidP="00534BAE"/>
    <w:p w14:paraId="55A6A646" w14:textId="77777777" w:rsidR="00644EE8" w:rsidRPr="00534BAE" w:rsidRDefault="00644EE8" w:rsidP="00534BAE"/>
    <w:sectPr w:rsidR="00644EE8" w:rsidRPr="00534BA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E4917" w14:textId="77777777" w:rsidR="00C80662" w:rsidRDefault="00C80662" w:rsidP="00A456C9">
      <w:r>
        <w:separator/>
      </w:r>
    </w:p>
  </w:endnote>
  <w:endnote w:type="continuationSeparator" w:id="0">
    <w:p w14:paraId="3DE86655" w14:textId="77777777" w:rsidR="00C80662" w:rsidRDefault="00C80662" w:rsidP="00A45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967A" w14:textId="56B4B38F" w:rsidR="00A456C9" w:rsidRDefault="00A456C9">
    <w:pPr>
      <w:pStyle w:val="Footer"/>
    </w:pPr>
    <w:r>
      <w:rPr>
        <w:noProof/>
      </w:rPr>
      <mc:AlternateContent>
        <mc:Choice Requires="wps">
          <w:drawing>
            <wp:anchor distT="0" distB="0" distL="0" distR="0" simplePos="0" relativeHeight="251659264" behindDoc="0" locked="0" layoutInCell="1" allowOverlap="1" wp14:anchorId="6D595574" wp14:editId="63353C7F">
              <wp:simplePos x="635" y="635"/>
              <wp:positionH relativeFrom="page">
                <wp:align>left</wp:align>
              </wp:positionH>
              <wp:positionV relativeFrom="page">
                <wp:align>bottom</wp:align>
              </wp:positionV>
              <wp:extent cx="1630045" cy="334010"/>
              <wp:effectExtent l="0" t="0" r="8255" b="0"/>
              <wp:wrapNone/>
              <wp:docPr id="981425441" name="Text Box 2" descr="Classified as Confidential (R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0045" cy="334010"/>
                      </a:xfrm>
                      <a:prstGeom prst="rect">
                        <a:avLst/>
                      </a:prstGeom>
                      <a:noFill/>
                      <a:ln>
                        <a:noFill/>
                      </a:ln>
                    </wps:spPr>
                    <wps:txbx>
                      <w:txbxContent>
                        <w:p w14:paraId="4C825776" w14:textId="3F623158" w:rsidR="00A456C9" w:rsidRPr="00A456C9" w:rsidRDefault="00A456C9" w:rsidP="00A456C9">
                          <w:pPr>
                            <w:rPr>
                              <w:rFonts w:ascii="Aptos" w:eastAsia="Aptos" w:hAnsi="Aptos" w:cs="Aptos"/>
                              <w:noProof/>
                              <w:color w:val="FF0000"/>
                              <w:sz w:val="16"/>
                              <w:szCs w:val="16"/>
                            </w:rPr>
                          </w:pPr>
                          <w:r w:rsidRPr="00A456C9">
                            <w:rPr>
                              <w:rFonts w:ascii="Aptos" w:eastAsia="Aptos" w:hAnsi="Aptos" w:cs="Aptos"/>
                              <w:noProof/>
                              <w:color w:val="FF0000"/>
                              <w:sz w:val="16"/>
                              <w:szCs w:val="16"/>
                            </w:rPr>
                            <w:t>Classified as Confidential (Red)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595574" id="_x0000_t202" coordsize="21600,21600" o:spt="202" path="m,l,21600r21600,l21600,xe">
              <v:stroke joinstyle="miter"/>
              <v:path gradientshapeok="t" o:connecttype="rect"/>
            </v:shapetype>
            <v:shape id="Text Box 2" o:spid="_x0000_s1026" type="#_x0000_t202" alt="Classified as Confidential (Red)" style="position:absolute;margin-left:0;margin-top:0;width:128.35pt;height:26.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" filled="f" stroked="f">
              <v:textbox style="mso-fit-shape-to-text:t" inset="20pt,0,0,15pt">
                <w:txbxContent>
                  <w:p w14:paraId="4C825776" w14:textId="3F623158" w:rsidR="00A456C9" w:rsidRPr="00A456C9" w:rsidRDefault="00A456C9" w:rsidP="00A456C9">
                    <w:pPr>
                      <w:rPr>
                        <w:rFonts w:ascii="Aptos" w:eastAsia="Aptos" w:hAnsi="Aptos" w:cs="Aptos"/>
                        <w:noProof/>
                        <w:color w:val="FF0000"/>
                        <w:sz w:val="16"/>
                        <w:szCs w:val="16"/>
                      </w:rPr>
                    </w:pPr>
                    <w:r w:rsidRPr="00A456C9">
                      <w:rPr>
                        <w:rFonts w:ascii="Aptos" w:eastAsia="Aptos" w:hAnsi="Aptos" w:cs="Aptos"/>
                        <w:noProof/>
                        <w:color w:val="FF0000"/>
                        <w:sz w:val="16"/>
                        <w:szCs w:val="16"/>
                      </w:rPr>
                      <w:t>Classified as Confidential (Red)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9F5D" w14:textId="27F199BC" w:rsidR="00A456C9" w:rsidRDefault="00A456C9">
    <w:pPr>
      <w:pStyle w:val="Footer"/>
    </w:pPr>
    <w:r>
      <w:rPr>
        <w:noProof/>
      </w:rPr>
      <mc:AlternateContent>
        <mc:Choice Requires="wps">
          <w:drawing>
            <wp:anchor distT="0" distB="0" distL="0" distR="0" simplePos="0" relativeHeight="251660288" behindDoc="0" locked="0" layoutInCell="1" allowOverlap="1" wp14:anchorId="7AA38999" wp14:editId="0DEE366C">
              <wp:simplePos x="914400" y="10058400"/>
              <wp:positionH relativeFrom="page">
                <wp:align>left</wp:align>
              </wp:positionH>
              <wp:positionV relativeFrom="page">
                <wp:align>bottom</wp:align>
              </wp:positionV>
              <wp:extent cx="1630045" cy="334010"/>
              <wp:effectExtent l="0" t="0" r="8255" b="0"/>
              <wp:wrapNone/>
              <wp:docPr id="1568380739" name="Text Box 3" descr="Classified as Confidential (R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0045" cy="334010"/>
                      </a:xfrm>
                      <a:prstGeom prst="rect">
                        <a:avLst/>
                      </a:prstGeom>
                      <a:noFill/>
                      <a:ln>
                        <a:noFill/>
                      </a:ln>
                    </wps:spPr>
                    <wps:txbx>
                      <w:txbxContent>
                        <w:p w14:paraId="0AAA4BEA" w14:textId="49FD4B7B" w:rsidR="00A456C9" w:rsidRPr="00A456C9" w:rsidRDefault="00A456C9" w:rsidP="00A456C9">
                          <w:pPr>
                            <w:rPr>
                              <w:rFonts w:ascii="Aptos" w:eastAsia="Aptos" w:hAnsi="Aptos" w:cs="Aptos"/>
                              <w:noProof/>
                              <w:color w:val="FF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A38999" id="_x0000_t202" coordsize="21600,21600" o:spt="202" path="m,l,21600r21600,l21600,xe">
              <v:stroke joinstyle="miter"/>
              <v:path gradientshapeok="t" o:connecttype="rect"/>
            </v:shapetype>
            <v:shape id="Text Box 3" o:spid="_x0000_s1027" type="#_x0000_t202" alt="Classified as Confidential (Red)" style="position:absolute;margin-left:0;margin-top:0;width:128.35pt;height:26.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" filled="f" stroked="f">
              <v:textbox style="mso-fit-shape-to-text:t" inset="20pt,0,0,15pt">
                <w:txbxContent>
                  <w:p w14:paraId="0AAA4BEA" w14:textId="49FD4B7B" w:rsidR="00A456C9" w:rsidRPr="00A456C9" w:rsidRDefault="00A456C9" w:rsidP="00A456C9">
                    <w:pPr>
                      <w:rPr>
                        <w:rFonts w:ascii="Aptos" w:eastAsia="Aptos" w:hAnsi="Aptos" w:cs="Aptos"/>
                        <w:noProof/>
                        <w:color w:val="FF0000"/>
                        <w:sz w:val="16"/>
                        <w:szCs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94F8" w14:textId="1CE25A15" w:rsidR="00A456C9" w:rsidRDefault="00A456C9">
    <w:pPr>
      <w:pStyle w:val="Footer"/>
    </w:pPr>
    <w:r>
      <w:rPr>
        <w:noProof/>
      </w:rPr>
      <mc:AlternateContent>
        <mc:Choice Requires="wps">
          <w:drawing>
            <wp:anchor distT="0" distB="0" distL="0" distR="0" simplePos="0" relativeHeight="251658240" behindDoc="0" locked="0" layoutInCell="1" allowOverlap="1" wp14:anchorId="32A69166" wp14:editId="43447168">
              <wp:simplePos x="635" y="635"/>
              <wp:positionH relativeFrom="page">
                <wp:align>left</wp:align>
              </wp:positionH>
              <wp:positionV relativeFrom="page">
                <wp:align>bottom</wp:align>
              </wp:positionV>
              <wp:extent cx="1630045" cy="334010"/>
              <wp:effectExtent l="0" t="0" r="8255" b="0"/>
              <wp:wrapNone/>
              <wp:docPr id="887111593" name="Text Box 1" descr="Classified as Confidential (R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0045" cy="334010"/>
                      </a:xfrm>
                      <a:prstGeom prst="rect">
                        <a:avLst/>
                      </a:prstGeom>
                      <a:noFill/>
                      <a:ln>
                        <a:noFill/>
                      </a:ln>
                    </wps:spPr>
                    <wps:txbx>
                      <w:txbxContent>
                        <w:p w14:paraId="70665C28" w14:textId="21EA67BD" w:rsidR="00A456C9" w:rsidRPr="00A456C9" w:rsidRDefault="00A456C9" w:rsidP="00A456C9">
                          <w:pPr>
                            <w:rPr>
                              <w:rFonts w:ascii="Aptos" w:eastAsia="Aptos" w:hAnsi="Aptos" w:cs="Aptos"/>
                              <w:noProof/>
                              <w:color w:val="FF0000"/>
                              <w:sz w:val="16"/>
                              <w:szCs w:val="16"/>
                            </w:rPr>
                          </w:pPr>
                          <w:r w:rsidRPr="00A456C9">
                            <w:rPr>
                              <w:rFonts w:ascii="Aptos" w:eastAsia="Aptos" w:hAnsi="Aptos" w:cs="Aptos"/>
                              <w:noProof/>
                              <w:color w:val="FF0000"/>
                              <w:sz w:val="16"/>
                              <w:szCs w:val="16"/>
                            </w:rPr>
                            <w:t>Classified as Confidential (Red)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A69166" id="_x0000_t202" coordsize="21600,21600" o:spt="202" path="m,l,21600r21600,l21600,xe">
              <v:stroke joinstyle="miter"/>
              <v:path gradientshapeok="t" o:connecttype="rect"/>
            </v:shapetype>
            <v:shape id="Text Box 1" o:spid="_x0000_s1028" type="#_x0000_t202" alt="Classified as Confidential (Red)" style="position:absolute;margin-left:0;margin-top:0;width:128.35pt;height:26.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" filled="f" stroked="f">
              <v:textbox style="mso-fit-shape-to-text:t" inset="20pt,0,0,15pt">
                <w:txbxContent>
                  <w:p w14:paraId="70665C28" w14:textId="21EA67BD" w:rsidR="00A456C9" w:rsidRPr="00A456C9" w:rsidRDefault="00A456C9" w:rsidP="00A456C9">
                    <w:pPr>
                      <w:rPr>
                        <w:rFonts w:ascii="Aptos" w:eastAsia="Aptos" w:hAnsi="Aptos" w:cs="Aptos"/>
                        <w:noProof/>
                        <w:color w:val="FF0000"/>
                        <w:sz w:val="16"/>
                        <w:szCs w:val="16"/>
                      </w:rPr>
                    </w:pPr>
                    <w:r w:rsidRPr="00A456C9">
                      <w:rPr>
                        <w:rFonts w:ascii="Aptos" w:eastAsia="Aptos" w:hAnsi="Aptos" w:cs="Aptos"/>
                        <w:noProof/>
                        <w:color w:val="FF0000"/>
                        <w:sz w:val="16"/>
                        <w:szCs w:val="16"/>
                      </w:rPr>
                      <w:t>Classified as Confidential (Red)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0D71C" w14:textId="77777777" w:rsidR="00C80662" w:rsidRDefault="00C80662" w:rsidP="00A456C9">
      <w:r>
        <w:separator/>
      </w:r>
    </w:p>
  </w:footnote>
  <w:footnote w:type="continuationSeparator" w:id="0">
    <w:p w14:paraId="42E376F3" w14:textId="77777777" w:rsidR="00C80662" w:rsidRDefault="00C80662" w:rsidP="00A456C9">
      <w:r>
        <w:continuationSeparator/>
      </w:r>
    </w:p>
  </w:footnote>
  <w:footnote w:id="1">
    <w:p w14:paraId="0BCEF222" w14:textId="0FF2F719" w:rsidR="00E56E2E" w:rsidRDefault="00E56E2E" w:rsidP="00E56E2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63B9" w14:textId="77777777" w:rsidR="008817F4" w:rsidRDefault="00881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3E97" w14:textId="77777777" w:rsidR="008817F4" w:rsidRDefault="008817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D483" w14:textId="77777777" w:rsidR="008817F4" w:rsidRDefault="00881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920FC"/>
    <w:multiLevelType w:val="hybridMultilevel"/>
    <w:tmpl w:val="4E6CE4C2"/>
    <w:lvl w:ilvl="0" w:tplc="63623D98">
      <w:numFmt w:val="bullet"/>
      <w:lvlText w:val="-"/>
      <w:lvlJc w:val="left"/>
      <w:pPr>
        <w:ind w:left="720" w:hanging="360"/>
      </w:pPr>
      <w:rPr>
        <w:rFonts w:ascii="Arial" w:eastAsia="Arial" w:hAnsi="Arial" w:cs="Arial" w:hint="default"/>
        <w:b w:val="0"/>
        <w:bCs w:val="0"/>
        <w:i w:val="0"/>
        <w:iCs w:val="0"/>
        <w:spacing w:val="0"/>
        <w:w w:val="99"/>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4622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A456C9"/>
    <w:rsid w:val="000B6A44"/>
    <w:rsid w:val="00142053"/>
    <w:rsid w:val="001443F6"/>
    <w:rsid w:val="00171D79"/>
    <w:rsid w:val="001A6473"/>
    <w:rsid w:val="001C78AA"/>
    <w:rsid w:val="00202E44"/>
    <w:rsid w:val="002566D0"/>
    <w:rsid w:val="00321BFE"/>
    <w:rsid w:val="003426D7"/>
    <w:rsid w:val="00347680"/>
    <w:rsid w:val="003634B7"/>
    <w:rsid w:val="004601AD"/>
    <w:rsid w:val="004B5348"/>
    <w:rsid w:val="004F5DE0"/>
    <w:rsid w:val="00534BAE"/>
    <w:rsid w:val="005453C9"/>
    <w:rsid w:val="005479E2"/>
    <w:rsid w:val="00560601"/>
    <w:rsid w:val="0057143A"/>
    <w:rsid w:val="00610D2D"/>
    <w:rsid w:val="00623751"/>
    <w:rsid w:val="00644EE8"/>
    <w:rsid w:val="00697C2E"/>
    <w:rsid w:val="006A00FB"/>
    <w:rsid w:val="006D7EE5"/>
    <w:rsid w:val="0073339E"/>
    <w:rsid w:val="00752B40"/>
    <w:rsid w:val="00756901"/>
    <w:rsid w:val="007647EE"/>
    <w:rsid w:val="007E755F"/>
    <w:rsid w:val="0087259B"/>
    <w:rsid w:val="008817F4"/>
    <w:rsid w:val="008D5F45"/>
    <w:rsid w:val="0090421B"/>
    <w:rsid w:val="00920879"/>
    <w:rsid w:val="009252B6"/>
    <w:rsid w:val="009921FD"/>
    <w:rsid w:val="009C23F3"/>
    <w:rsid w:val="009F72A3"/>
    <w:rsid w:val="00A456C9"/>
    <w:rsid w:val="00AB12D3"/>
    <w:rsid w:val="00AC3CD6"/>
    <w:rsid w:val="00AE2647"/>
    <w:rsid w:val="00B53D05"/>
    <w:rsid w:val="00B65E1C"/>
    <w:rsid w:val="00B709AE"/>
    <w:rsid w:val="00BD45AA"/>
    <w:rsid w:val="00C62E0A"/>
    <w:rsid w:val="00C71F74"/>
    <w:rsid w:val="00C80662"/>
    <w:rsid w:val="00CC0863"/>
    <w:rsid w:val="00D20C01"/>
    <w:rsid w:val="00E04C89"/>
    <w:rsid w:val="00E56E2E"/>
    <w:rsid w:val="00E77C49"/>
    <w:rsid w:val="00F902F6"/>
    <w:rsid w:val="00FA77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835E7"/>
  <w15:chartTrackingRefBased/>
  <w15:docId w15:val="{6DCC0050-F7D6-451D-92E9-9B2E5D8A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5AA"/>
    <w:pPr>
      <w:spacing w:after="0" w:line="240" w:lineRule="auto"/>
    </w:pPr>
    <w:rPr>
      <w:rFonts w:ascii="Times New Roman" w:eastAsia="Times New Roman" w:hAnsi="Times New Roman" w:cs="Times New Roman"/>
      <w:kern w:val="0"/>
      <w:lang w:eastAsia="en-IE"/>
      <w14:ligatures w14:val="none"/>
    </w:rPr>
  </w:style>
  <w:style w:type="paragraph" w:styleId="Heading1">
    <w:name w:val="heading 1"/>
    <w:basedOn w:val="Normal"/>
    <w:next w:val="Normal"/>
    <w:link w:val="Heading1Char"/>
    <w:uiPriority w:val="9"/>
    <w:qFormat/>
    <w:rsid w:val="00A456C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456C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456C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456C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456C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456C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456C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456C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456C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6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6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6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6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6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6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6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6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6C9"/>
    <w:rPr>
      <w:rFonts w:eastAsiaTheme="majorEastAsia" w:cstheme="majorBidi"/>
      <w:color w:val="272727" w:themeColor="text1" w:themeTint="D8"/>
    </w:rPr>
  </w:style>
  <w:style w:type="paragraph" w:styleId="Title">
    <w:name w:val="Title"/>
    <w:basedOn w:val="Normal"/>
    <w:next w:val="Normal"/>
    <w:link w:val="TitleChar"/>
    <w:uiPriority w:val="10"/>
    <w:qFormat/>
    <w:rsid w:val="00A456C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456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6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456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6C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456C9"/>
    <w:rPr>
      <w:i/>
      <w:iCs/>
      <w:color w:val="404040" w:themeColor="text1" w:themeTint="BF"/>
    </w:rPr>
  </w:style>
  <w:style w:type="paragraph" w:styleId="ListParagraph">
    <w:name w:val="List Paragraph"/>
    <w:basedOn w:val="Normal"/>
    <w:uiPriority w:val="34"/>
    <w:qFormat/>
    <w:rsid w:val="00A456C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456C9"/>
    <w:rPr>
      <w:i/>
      <w:iCs/>
      <w:color w:val="0F4761" w:themeColor="accent1" w:themeShade="BF"/>
    </w:rPr>
  </w:style>
  <w:style w:type="paragraph" w:styleId="IntenseQuote">
    <w:name w:val="Intense Quote"/>
    <w:basedOn w:val="Normal"/>
    <w:next w:val="Normal"/>
    <w:link w:val="IntenseQuoteChar"/>
    <w:uiPriority w:val="30"/>
    <w:qFormat/>
    <w:rsid w:val="00A456C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456C9"/>
    <w:rPr>
      <w:i/>
      <w:iCs/>
      <w:color w:val="0F4761" w:themeColor="accent1" w:themeShade="BF"/>
    </w:rPr>
  </w:style>
  <w:style w:type="character" w:styleId="IntenseReference">
    <w:name w:val="Intense Reference"/>
    <w:basedOn w:val="DefaultParagraphFont"/>
    <w:uiPriority w:val="32"/>
    <w:qFormat/>
    <w:rsid w:val="00A456C9"/>
    <w:rPr>
      <w:b/>
      <w:bCs/>
      <w:smallCaps/>
      <w:color w:val="0F4761" w:themeColor="accent1" w:themeShade="BF"/>
      <w:spacing w:val="5"/>
    </w:rPr>
  </w:style>
  <w:style w:type="paragraph" w:styleId="NoSpacing">
    <w:name w:val="No Spacing"/>
    <w:uiPriority w:val="1"/>
    <w:qFormat/>
    <w:rsid w:val="00A456C9"/>
    <w:pPr>
      <w:spacing w:after="0" w:line="240" w:lineRule="auto"/>
    </w:pPr>
  </w:style>
  <w:style w:type="paragraph" w:styleId="Footer">
    <w:name w:val="footer"/>
    <w:basedOn w:val="Normal"/>
    <w:link w:val="FooterChar"/>
    <w:uiPriority w:val="99"/>
    <w:unhideWhenUsed/>
    <w:rsid w:val="00A456C9"/>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A456C9"/>
  </w:style>
  <w:style w:type="character" w:styleId="CommentReference">
    <w:name w:val="annotation reference"/>
    <w:basedOn w:val="DefaultParagraphFont"/>
    <w:uiPriority w:val="99"/>
    <w:semiHidden/>
    <w:unhideWhenUsed/>
    <w:rsid w:val="00623751"/>
    <w:rPr>
      <w:sz w:val="16"/>
      <w:szCs w:val="16"/>
    </w:rPr>
  </w:style>
  <w:style w:type="paragraph" w:styleId="CommentText">
    <w:name w:val="annotation text"/>
    <w:basedOn w:val="Normal"/>
    <w:link w:val="CommentTextChar"/>
    <w:uiPriority w:val="99"/>
    <w:unhideWhenUsed/>
    <w:rsid w:val="00623751"/>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623751"/>
    <w:rPr>
      <w:sz w:val="20"/>
      <w:szCs w:val="20"/>
    </w:rPr>
  </w:style>
  <w:style w:type="paragraph" w:styleId="CommentSubject">
    <w:name w:val="annotation subject"/>
    <w:basedOn w:val="CommentText"/>
    <w:next w:val="CommentText"/>
    <w:link w:val="CommentSubjectChar"/>
    <w:uiPriority w:val="99"/>
    <w:semiHidden/>
    <w:unhideWhenUsed/>
    <w:rsid w:val="00623751"/>
    <w:rPr>
      <w:b/>
      <w:bCs/>
    </w:rPr>
  </w:style>
  <w:style w:type="character" w:customStyle="1" w:styleId="CommentSubjectChar">
    <w:name w:val="Comment Subject Char"/>
    <w:basedOn w:val="CommentTextChar"/>
    <w:link w:val="CommentSubject"/>
    <w:uiPriority w:val="99"/>
    <w:semiHidden/>
    <w:rsid w:val="00623751"/>
    <w:rPr>
      <w:b/>
      <w:bCs/>
      <w:sz w:val="20"/>
      <w:szCs w:val="20"/>
    </w:rPr>
  </w:style>
  <w:style w:type="paragraph" w:styleId="NormalWeb">
    <w:name w:val="Normal (Web)"/>
    <w:basedOn w:val="Normal"/>
    <w:uiPriority w:val="99"/>
    <w:semiHidden/>
    <w:unhideWhenUsed/>
    <w:rsid w:val="00BD45AA"/>
    <w:pPr>
      <w:spacing w:before="100" w:beforeAutospacing="1" w:after="100" w:afterAutospacing="1"/>
    </w:pPr>
  </w:style>
  <w:style w:type="character" w:styleId="Strong">
    <w:name w:val="Strong"/>
    <w:basedOn w:val="DefaultParagraphFont"/>
    <w:uiPriority w:val="22"/>
    <w:qFormat/>
    <w:rsid w:val="00BD45AA"/>
    <w:rPr>
      <w:b/>
      <w:bCs/>
    </w:rPr>
  </w:style>
  <w:style w:type="paragraph" w:styleId="Header">
    <w:name w:val="header"/>
    <w:basedOn w:val="Normal"/>
    <w:link w:val="HeaderChar"/>
    <w:uiPriority w:val="99"/>
    <w:unhideWhenUsed/>
    <w:rsid w:val="00E77C49"/>
    <w:pPr>
      <w:tabs>
        <w:tab w:val="center" w:pos="4513"/>
        <w:tab w:val="right" w:pos="9026"/>
      </w:tabs>
    </w:pPr>
  </w:style>
  <w:style w:type="character" w:customStyle="1" w:styleId="HeaderChar">
    <w:name w:val="Header Char"/>
    <w:basedOn w:val="DefaultParagraphFont"/>
    <w:link w:val="Header"/>
    <w:uiPriority w:val="99"/>
    <w:rsid w:val="00E77C49"/>
    <w:rPr>
      <w:rFonts w:ascii="Times New Roman" w:eastAsia="Times New Roman" w:hAnsi="Times New Roman" w:cs="Times New Roman"/>
      <w:kern w:val="0"/>
      <w:lang w:eastAsia="en-IE"/>
      <w14:ligatures w14:val="none"/>
    </w:rPr>
  </w:style>
  <w:style w:type="paragraph" w:styleId="Revision">
    <w:name w:val="Revision"/>
    <w:hidden/>
    <w:uiPriority w:val="99"/>
    <w:semiHidden/>
    <w:rsid w:val="00B709AE"/>
    <w:pPr>
      <w:spacing w:after="0" w:line="240" w:lineRule="auto"/>
    </w:pPr>
    <w:rPr>
      <w:rFonts w:ascii="Times New Roman" w:eastAsia="Times New Roman" w:hAnsi="Times New Roman" w:cs="Times New Roman"/>
      <w:kern w:val="0"/>
      <w:lang w:eastAsia="en-IE"/>
      <w14:ligatures w14:val="none"/>
    </w:rPr>
  </w:style>
  <w:style w:type="paragraph" w:styleId="FootnoteText">
    <w:name w:val="footnote text"/>
    <w:basedOn w:val="Normal"/>
    <w:link w:val="FootnoteTextChar"/>
    <w:uiPriority w:val="99"/>
    <w:semiHidden/>
    <w:unhideWhenUsed/>
    <w:rsid w:val="00534BAE"/>
    <w:rPr>
      <w:sz w:val="20"/>
      <w:szCs w:val="20"/>
    </w:rPr>
  </w:style>
  <w:style w:type="character" w:customStyle="1" w:styleId="FootnoteTextChar">
    <w:name w:val="Footnote Text Char"/>
    <w:basedOn w:val="DefaultParagraphFont"/>
    <w:link w:val="FootnoteText"/>
    <w:uiPriority w:val="99"/>
    <w:semiHidden/>
    <w:rsid w:val="00534BAE"/>
    <w:rPr>
      <w:rFonts w:ascii="Times New Roman" w:eastAsia="Times New Roman" w:hAnsi="Times New Roman" w:cs="Times New Roman"/>
      <w:kern w:val="0"/>
      <w:sz w:val="20"/>
      <w:szCs w:val="20"/>
      <w:lang w:eastAsia="en-IE"/>
      <w14:ligatures w14:val="none"/>
    </w:rPr>
  </w:style>
  <w:style w:type="character" w:styleId="FootnoteReference">
    <w:name w:val="footnote reference"/>
    <w:basedOn w:val="DefaultParagraphFont"/>
    <w:uiPriority w:val="99"/>
    <w:semiHidden/>
    <w:unhideWhenUsed/>
    <w:rsid w:val="00534B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LEGAL!88411358.2</documentid>
  <senderid>NGREEN</senderid>
  <senderemail>NIAMH.GREEN@WILLIAMFRY.COM</senderemail>
  <lastmodified>2026-11-05T11:04:00.0000000+00:00</lastmodified>
  <database>LEGAL</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4C271-FA22-422B-84E9-A688CD386CE9}">
  <ds:schemaRefs>
    <ds:schemaRef ds:uri="http://www.imanage.com/work/xmlschema"/>
  </ds:schemaRefs>
</ds:datastoreItem>
</file>

<file path=customXml/itemProps2.xml><?xml version="1.0" encoding="utf-8"?>
<ds:datastoreItem xmlns:ds="http://schemas.openxmlformats.org/officeDocument/2006/customXml" ds:itemID="{D9733F40-0E9E-4DC1-A274-79D2A31E1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1401</Words>
  <Characters>7992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Eleana Skelly</dc:creator>
  <cp:keywords/>
  <dc:description/>
  <cp:lastModifiedBy>Aidan Hughes</cp:lastModifiedBy>
  <cp:revision>2</cp:revision>
  <dcterms:created xsi:type="dcterms:W3CDTF">2026-11-05T17:58:00Z</dcterms:created>
  <dcterms:modified xsi:type="dcterms:W3CDTF">2026-11-05T17:58:00Z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34e03fa9,3a7f5d21,5d7b9743</vt:lpwstr>
  </property>
  <property fmtid="{D5CDD505-2E9C-101B-9397-08002B2CF9AE}" pid="3" name="ClassificationContentMarkingFooterFontProps">
    <vt:lpwstr>#ff0000,8,Aptos</vt:lpwstr>
  </property>
  <property fmtid="{D5CDD505-2E9C-101B-9397-08002B2CF9AE}" pid="4" name="ClassificationContentMarkingFooterText">
    <vt:lpwstr>Classified as Confidential (Red)</vt:lpwstr>
  </property>
  <property fmtid="{D5CDD505-2E9C-101B-9397-08002B2CF9AE}" pid="5" name="MSIP_Label_6c9fbc4e-86f7-46d7-a115-5523722b2c5e_Enabled">
    <vt:lpwstr>true</vt:lpwstr>
  </property>
  <property fmtid="{D5CDD505-2E9C-101B-9397-08002B2CF9AE}" pid="6" name="MSIP_Label_6c9fbc4e-86f7-46d7-a115-5523722b2c5e_SetDate">
    <vt:lpwstr>2026-11-02T10:45:36Z</vt:lpwstr>
  </property>
  <property fmtid="{D5CDD505-2E9C-101B-9397-08002B2CF9AE}" pid="7" name="MSIP_Label_6c9fbc4e-86f7-46d7-a115-5523722b2c5e_Method">
    <vt:lpwstr>Privileged</vt:lpwstr>
  </property>
  <property fmtid="{D5CDD505-2E9C-101B-9397-08002B2CF9AE}" pid="8" name="MSIP_Label_6c9fbc4e-86f7-46d7-a115-5523722b2c5e_Name">
    <vt:lpwstr>Davy Confidential Classification</vt:lpwstr>
  </property>
  <property fmtid="{D5CDD505-2E9C-101B-9397-08002B2CF9AE}" pid="9" name="MSIP_Label_6c9fbc4e-86f7-46d7-a115-5523722b2c5e_SiteId">
    <vt:lpwstr>5127bbf0-ab09-4806-bbc9-e1a61d33b8dc</vt:lpwstr>
  </property>
  <property fmtid="{D5CDD505-2E9C-101B-9397-08002B2CF9AE}" pid="10" name="MSIP_Label_6c9fbc4e-86f7-46d7-a115-5523722b2c5e_ActionId">
    <vt:lpwstr>f9b9ef72-0ecb-4970-831d-af1ac45b2969</vt:lpwstr>
  </property>
  <property fmtid="{D5CDD505-2E9C-101B-9397-08002B2CF9AE}" pid="11" name="MSIP_Label_6c9fbc4e-86f7-46d7-a115-5523722b2c5e_ContentBits">
    <vt:lpwstr>2</vt:lpwstr>
  </property>
  <property fmtid="{D5CDD505-2E9C-101B-9397-08002B2CF9AE}" pid="12" name="MSIP_Label_6c9fbc4e-86f7-46d7-a115-5523722b2c5e_Tag">
    <vt:lpwstr>10, 0, 1, 1</vt:lpwstr>
  </property>
  <property fmtid="{D5CDD505-2E9C-101B-9397-08002B2CF9AE}" pid="13" name="DMSOwner">
    <vt:lpwstr>NGREEN</vt:lpwstr>
  </property>
  <property fmtid="{D5CDD505-2E9C-101B-9397-08002B2CF9AE}" pid="14" name="DMSTypist">
    <vt:lpwstr>NGREEN</vt:lpwstr>
  </property>
  <property fmtid="{D5CDD505-2E9C-101B-9397-08002B2CF9AE}" pid="15" name="DMSTypistName">
    <vt:lpwstr>Green, Niamh</vt:lpwstr>
  </property>
  <property fmtid="{D5CDD505-2E9C-101B-9397-08002B2CF9AE}" pid="16" name="DMSOwnerName">
    <vt:lpwstr>Green, Niamh</vt:lpwstr>
  </property>
  <property fmtid="{D5CDD505-2E9C-101B-9397-08002B2CF9AE}" pid="17" name="DMSClientNum">
    <vt:lpwstr>008154</vt:lpwstr>
  </property>
  <property fmtid="{D5CDD505-2E9C-101B-9397-08002B2CF9AE}" pid="18" name="DMSClientName">
    <vt:lpwstr>J &amp; E Davy Unlimited Company</vt:lpwstr>
  </property>
  <property fmtid="{D5CDD505-2E9C-101B-9397-08002B2CF9AE}" pid="19" name="DMSMatterNum">
    <vt:lpwstr>008154.0787</vt:lpwstr>
  </property>
  <property fmtid="{D5CDD505-2E9C-101B-9397-08002B2CF9AE}" pid="20" name="DMSMatterDesc">
    <vt:lpwstr>Project Mask</vt:lpwstr>
  </property>
  <property fmtid="{D5CDD505-2E9C-101B-9397-08002B2CF9AE}" pid="21" name="DMSClientMatter">
    <vt:lpwstr>008154/008154.0787</vt:lpwstr>
  </property>
  <property fmtid="{D5CDD505-2E9C-101B-9397-08002B2CF9AE}" pid="22" name="DMSDocNumber">
    <vt:lpwstr>88411358</vt:lpwstr>
  </property>
  <property fmtid="{D5CDD505-2E9C-101B-9397-08002B2CF9AE}" pid="23" name="DMSOurRef">
    <vt:lpwstr>NGREEN/NGREEN</vt:lpwstr>
  </property>
  <property fmtid="{D5CDD505-2E9C-101B-9397-08002B2CF9AE}" pid="24" name="DMSFooter">
    <vt:lpwstr>WF-88411358-v2</vt:lpwstr>
  </property>
  <property fmtid="{D5CDD505-2E9C-101B-9397-08002B2CF9AE}" pid="25" name="DMSDocVersion">
    <vt:lpwstr>2</vt:lpwstr>
  </property>
</Properties>
</file>