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DC459" w14:textId="77777777" w:rsidR="00EE0F87" w:rsidRPr="00EE0F87" w:rsidRDefault="00EE0F87" w:rsidP="00EE0F87">
      <w:pPr>
        <w:pBdr>
          <w:bottom w:val="single" w:sz="8" w:space="5" w:color="000000"/>
        </w:pBdr>
        <w:suppressAutoHyphens/>
        <w:autoSpaceDE w:val="0"/>
        <w:autoSpaceDN w:val="0"/>
        <w:adjustRightInd w:val="0"/>
        <w:spacing w:after="0" w:line="288" w:lineRule="auto"/>
        <w:textAlignment w:val="center"/>
        <w:rPr>
          <w:rFonts w:ascii="Arial" w:eastAsia="Times New Roman" w:hAnsi="Arial" w:cs="Arial"/>
          <w:b/>
          <w:bCs/>
          <w:caps/>
          <w:color w:val="000000"/>
          <w:sz w:val="30"/>
          <w:szCs w:val="30"/>
          <w:lang w:eastAsia="en-GB"/>
        </w:rPr>
      </w:pPr>
      <w:r w:rsidRPr="00EE0F87">
        <w:rPr>
          <w:rFonts w:ascii="Arial" w:eastAsia="Times New Roman" w:hAnsi="Arial" w:cs="Arial"/>
          <w:b/>
          <w:bCs/>
          <w:caps/>
          <w:color w:val="000000"/>
          <w:sz w:val="30"/>
          <w:szCs w:val="30"/>
          <w:lang w:eastAsia="en-GB"/>
        </w:rPr>
        <w:t>Chairman’s Statement</w:t>
      </w:r>
    </w:p>
    <w:p w14:paraId="13126227" w14:textId="77777777" w:rsidR="00EE0F87" w:rsidRPr="00EE0F87" w:rsidRDefault="00EE0F87" w:rsidP="00EE0F87">
      <w:pPr>
        <w:overflowPunct w:val="0"/>
        <w:autoSpaceDE w:val="0"/>
        <w:autoSpaceDN w:val="0"/>
        <w:adjustRightInd w:val="0"/>
        <w:spacing w:after="0" w:line="240" w:lineRule="auto"/>
        <w:jc w:val="both"/>
        <w:textAlignment w:val="baseline"/>
        <w:rPr>
          <w:rFonts w:ascii="Times New Roman" w:eastAsia="Times New Roman" w:hAnsi="Times New Roman" w:cs="Times New Roman"/>
          <w:iCs/>
          <w:szCs w:val="20"/>
          <w:lang w:eastAsia="en-IE"/>
        </w:rPr>
      </w:pPr>
    </w:p>
    <w:p w14:paraId="434C2126" w14:textId="77777777" w:rsidR="00EE0F87" w:rsidRPr="00EE0F87" w:rsidRDefault="00EE0F87" w:rsidP="00EE0F87">
      <w:pPr>
        <w:spacing w:after="0" w:line="240" w:lineRule="auto"/>
        <w:textAlignment w:val="baseline"/>
        <w:rPr>
          <w:rFonts w:ascii="Times New Roman" w:eastAsia="Times New Roman" w:hAnsi="Times New Roman" w:cs="Times New Roman"/>
          <w:sz w:val="24"/>
          <w:szCs w:val="24"/>
          <w:lang w:eastAsia="en-IE"/>
        </w:rPr>
      </w:pPr>
      <w:r w:rsidRPr="00EE0F87">
        <w:rPr>
          <w:rFonts w:ascii="Times New Roman" w:eastAsia="Times New Roman" w:hAnsi="Times New Roman" w:cs="Times New Roman"/>
          <w:sz w:val="24"/>
          <w:szCs w:val="24"/>
          <w:lang w:eastAsia="en-IE"/>
        </w:rPr>
        <w:t xml:space="preserve">Roebuck Food Group plc (AIM: RFG), is pleased to announce its results for the year ended 31 December 2022. </w:t>
      </w:r>
    </w:p>
    <w:p w14:paraId="5AA0845F" w14:textId="77777777" w:rsidR="00EE0F87" w:rsidRPr="00EE0F87" w:rsidRDefault="00EE0F87" w:rsidP="00EE0F87">
      <w:pPr>
        <w:spacing w:after="0" w:line="240" w:lineRule="auto"/>
        <w:textAlignment w:val="baseline"/>
        <w:rPr>
          <w:rFonts w:ascii="Times New Roman" w:eastAsia="Times New Roman" w:hAnsi="Times New Roman" w:cs="Times New Roman"/>
          <w:sz w:val="20"/>
          <w:szCs w:val="24"/>
        </w:rPr>
      </w:pPr>
    </w:p>
    <w:p w14:paraId="5B031AFC" w14:textId="77777777" w:rsidR="00EE0F87" w:rsidRPr="00EE0F87" w:rsidRDefault="00EE0F87" w:rsidP="00EE0F87">
      <w:pPr>
        <w:spacing w:after="0" w:line="240" w:lineRule="auto"/>
        <w:jc w:val="both"/>
        <w:textAlignment w:val="baseline"/>
        <w:rPr>
          <w:rFonts w:ascii="Times New Roman" w:eastAsia="Times New Roman" w:hAnsi="Times New Roman" w:cs="Times New Roman"/>
          <w:b/>
          <w:sz w:val="24"/>
          <w:szCs w:val="24"/>
          <w:lang w:val="en-US"/>
        </w:rPr>
      </w:pPr>
      <w:r w:rsidRPr="00EE0F87">
        <w:rPr>
          <w:rFonts w:ascii="Times New Roman" w:eastAsia="Times New Roman" w:hAnsi="Times New Roman" w:cs="Times New Roman"/>
          <w:b/>
          <w:sz w:val="24"/>
          <w:szCs w:val="24"/>
          <w:lang w:val="en-US"/>
        </w:rPr>
        <w:t>Group Financial Highlights – Continuing Operations</w:t>
      </w:r>
    </w:p>
    <w:p w14:paraId="212F13A9" w14:textId="77777777" w:rsidR="00EE0F87" w:rsidRPr="00EE0F87" w:rsidRDefault="00EE0F87" w:rsidP="00EE0F87">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EE0F87">
        <w:rPr>
          <w:rFonts w:ascii="Times New Roman" w:eastAsia="Times New Roman" w:hAnsi="Times New Roman" w:cs="Times New Roman"/>
          <w:sz w:val="24"/>
          <w:szCs w:val="24"/>
          <w:lang w:val="en-US"/>
        </w:rPr>
        <w:t>Group revenue increased by 29% to £31.4m (2021: £24.3m)</w:t>
      </w:r>
    </w:p>
    <w:p w14:paraId="2611F344" w14:textId="77777777" w:rsidR="00EE0F87" w:rsidRPr="00EE0F87" w:rsidRDefault="00EE0F87" w:rsidP="00EE0F87">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EE0F87">
        <w:rPr>
          <w:rFonts w:ascii="Times New Roman" w:eastAsia="Times New Roman" w:hAnsi="Times New Roman" w:cs="Times New Roman"/>
          <w:sz w:val="24"/>
          <w:szCs w:val="24"/>
          <w:lang w:val="en-US"/>
        </w:rPr>
        <w:t>Earnings per share of 0.5p on continuing operations (2021 : loss of 3.5p)</w:t>
      </w:r>
    </w:p>
    <w:p w14:paraId="19AE4C60" w14:textId="77777777" w:rsidR="00EE0F87" w:rsidRPr="00EE0F87" w:rsidRDefault="00EE0F87" w:rsidP="00EE0F87">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EE0F87">
        <w:rPr>
          <w:rFonts w:ascii="Times New Roman" w:eastAsia="Times New Roman" w:hAnsi="Times New Roman" w:cs="Times New Roman"/>
          <w:sz w:val="24"/>
          <w:szCs w:val="24"/>
          <w:lang w:val="en-US"/>
        </w:rPr>
        <w:t>Profit after tax from continuing operation of £0.2m ( 2021 : loss £1.1m)</w:t>
      </w:r>
    </w:p>
    <w:p w14:paraId="4EB4BC17" w14:textId="77777777" w:rsidR="00EE0F87" w:rsidRPr="00EE0F87" w:rsidRDefault="00EE0F87" w:rsidP="00EE0F87">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EE0F87">
        <w:rPr>
          <w:rFonts w:ascii="Times New Roman" w:eastAsia="Times New Roman" w:hAnsi="Times New Roman" w:cs="Times New Roman"/>
          <w:sz w:val="24"/>
          <w:szCs w:val="24"/>
          <w:lang w:val="en-US"/>
        </w:rPr>
        <w:t xml:space="preserve">EBITDA of £0.5m from the Dairy division (2021 : £0.1m) </w:t>
      </w:r>
    </w:p>
    <w:p w14:paraId="06A0A78F" w14:textId="77777777" w:rsidR="00EE0F87" w:rsidRPr="00EE0F87" w:rsidRDefault="00EE0F87" w:rsidP="00EE0F87">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EE0F87">
        <w:rPr>
          <w:rFonts w:ascii="Times New Roman" w:eastAsia="Times New Roman" w:hAnsi="Times New Roman" w:cs="Times New Roman"/>
          <w:sz w:val="24"/>
          <w:szCs w:val="24"/>
          <w:lang w:val="en-US"/>
        </w:rPr>
        <w:t xml:space="preserve">EBITDA of £0.4m from the Sourcing division (2021: £0.3m) </w:t>
      </w:r>
    </w:p>
    <w:p w14:paraId="5C48CD53" w14:textId="77777777" w:rsidR="00EE0F87" w:rsidRPr="00EE0F87" w:rsidRDefault="00EE0F87" w:rsidP="00EE0F87">
      <w:pPr>
        <w:spacing w:after="0" w:line="240" w:lineRule="auto"/>
        <w:ind w:left="720"/>
        <w:jc w:val="both"/>
        <w:textAlignment w:val="baseline"/>
        <w:rPr>
          <w:rFonts w:ascii="Times New Roman" w:eastAsia="Times New Roman" w:hAnsi="Times New Roman" w:cs="Times New Roman"/>
          <w:sz w:val="24"/>
          <w:szCs w:val="24"/>
          <w:lang w:val="en-US"/>
        </w:rPr>
      </w:pPr>
    </w:p>
    <w:p w14:paraId="6FF9C1B7" w14:textId="77777777" w:rsidR="00EE0F87" w:rsidRPr="00EE0F87" w:rsidRDefault="00EE0F87" w:rsidP="00EE0F8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EE0F87">
        <w:rPr>
          <w:rFonts w:ascii="Times New Roman" w:eastAsia="Times New Roman" w:hAnsi="Times New Roman" w:cs="Times New Roman"/>
          <w:b/>
          <w:sz w:val="24"/>
          <w:szCs w:val="24"/>
        </w:rPr>
        <w:t>Divisional Highlights- Continuing Operations</w:t>
      </w:r>
    </w:p>
    <w:p w14:paraId="5B897E24" w14:textId="77777777" w:rsidR="00EE0F87" w:rsidRPr="00EE0F87" w:rsidRDefault="00EE0F87" w:rsidP="00EE0F8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p>
    <w:tbl>
      <w:tblPr>
        <w:tblStyle w:val="TableGrid1"/>
        <w:tblW w:w="7792" w:type="dxa"/>
        <w:tblLook w:val="04A0" w:firstRow="1" w:lastRow="0" w:firstColumn="1" w:lastColumn="0" w:noHBand="0" w:noVBand="1"/>
      </w:tblPr>
      <w:tblGrid>
        <w:gridCol w:w="1244"/>
        <w:gridCol w:w="1445"/>
        <w:gridCol w:w="1449"/>
        <w:gridCol w:w="1669"/>
        <w:gridCol w:w="1985"/>
      </w:tblGrid>
      <w:tr w:rsidR="00EE0F87" w:rsidRPr="00EE0F87" w14:paraId="2DEDE0F3" w14:textId="77777777" w:rsidTr="00897EB6">
        <w:tc>
          <w:tcPr>
            <w:tcW w:w="1244" w:type="dxa"/>
            <w:vAlign w:val="center"/>
          </w:tcPr>
          <w:p w14:paraId="44B9243D" w14:textId="77777777" w:rsidR="00EE0F87" w:rsidRPr="00EE0F87" w:rsidRDefault="00EE0F87" w:rsidP="00EE0F87">
            <w:pPr>
              <w:overflowPunct w:val="0"/>
              <w:autoSpaceDE w:val="0"/>
              <w:autoSpaceDN w:val="0"/>
              <w:adjustRightInd w:val="0"/>
              <w:jc w:val="center"/>
              <w:textAlignment w:val="baseline"/>
              <w:rPr>
                <w:b/>
              </w:rPr>
            </w:pPr>
            <w:r w:rsidRPr="00EE0F87">
              <w:rPr>
                <w:b/>
              </w:rPr>
              <w:t>£’000</w:t>
            </w:r>
          </w:p>
        </w:tc>
        <w:tc>
          <w:tcPr>
            <w:tcW w:w="2894" w:type="dxa"/>
            <w:gridSpan w:val="2"/>
            <w:vAlign w:val="center"/>
          </w:tcPr>
          <w:p w14:paraId="0DB006FD" w14:textId="77777777" w:rsidR="00EE0F87" w:rsidRPr="00EE0F87" w:rsidRDefault="00EE0F87" w:rsidP="00EE0F87">
            <w:pPr>
              <w:overflowPunct w:val="0"/>
              <w:autoSpaceDE w:val="0"/>
              <w:autoSpaceDN w:val="0"/>
              <w:adjustRightInd w:val="0"/>
              <w:jc w:val="center"/>
              <w:textAlignment w:val="baseline"/>
              <w:rPr>
                <w:b/>
              </w:rPr>
            </w:pPr>
            <w:r w:rsidRPr="00EE0F87">
              <w:rPr>
                <w:b/>
              </w:rPr>
              <w:t>Sourcing</w:t>
            </w:r>
          </w:p>
        </w:tc>
        <w:tc>
          <w:tcPr>
            <w:tcW w:w="3654" w:type="dxa"/>
            <w:gridSpan w:val="2"/>
            <w:vAlign w:val="center"/>
          </w:tcPr>
          <w:p w14:paraId="3508CEAF" w14:textId="77777777" w:rsidR="00EE0F87" w:rsidRPr="00EE0F87" w:rsidRDefault="00EE0F87" w:rsidP="00EE0F87">
            <w:pPr>
              <w:overflowPunct w:val="0"/>
              <w:autoSpaceDE w:val="0"/>
              <w:autoSpaceDN w:val="0"/>
              <w:adjustRightInd w:val="0"/>
              <w:jc w:val="center"/>
              <w:textAlignment w:val="baseline"/>
              <w:rPr>
                <w:b/>
              </w:rPr>
            </w:pPr>
            <w:r w:rsidRPr="00EE0F87">
              <w:rPr>
                <w:b/>
              </w:rPr>
              <w:t>Dairy</w:t>
            </w:r>
          </w:p>
        </w:tc>
      </w:tr>
      <w:tr w:rsidR="00EE0F87" w:rsidRPr="00EE0F87" w14:paraId="5DA3E1E2" w14:textId="77777777" w:rsidTr="00897EB6">
        <w:tc>
          <w:tcPr>
            <w:tcW w:w="1244" w:type="dxa"/>
            <w:vAlign w:val="center"/>
          </w:tcPr>
          <w:p w14:paraId="19DB87CC" w14:textId="77777777" w:rsidR="00EE0F87" w:rsidRPr="00EE0F87" w:rsidRDefault="00EE0F87" w:rsidP="00EE0F87">
            <w:pPr>
              <w:overflowPunct w:val="0"/>
              <w:autoSpaceDE w:val="0"/>
              <w:autoSpaceDN w:val="0"/>
              <w:adjustRightInd w:val="0"/>
              <w:textAlignment w:val="baseline"/>
            </w:pPr>
          </w:p>
        </w:tc>
        <w:tc>
          <w:tcPr>
            <w:tcW w:w="1445" w:type="dxa"/>
            <w:vAlign w:val="center"/>
          </w:tcPr>
          <w:p w14:paraId="15F55575" w14:textId="77777777" w:rsidR="00EE0F87" w:rsidRPr="00EE0F87" w:rsidRDefault="00EE0F87" w:rsidP="00EE0F87">
            <w:pPr>
              <w:overflowPunct w:val="0"/>
              <w:autoSpaceDE w:val="0"/>
              <w:autoSpaceDN w:val="0"/>
              <w:adjustRightInd w:val="0"/>
              <w:jc w:val="center"/>
              <w:textAlignment w:val="baseline"/>
              <w:rPr>
                <w:b/>
              </w:rPr>
            </w:pPr>
            <w:r w:rsidRPr="00EE0F87">
              <w:rPr>
                <w:b/>
              </w:rPr>
              <w:t>2022</w:t>
            </w:r>
          </w:p>
        </w:tc>
        <w:tc>
          <w:tcPr>
            <w:tcW w:w="1449" w:type="dxa"/>
            <w:vAlign w:val="center"/>
          </w:tcPr>
          <w:p w14:paraId="7FDC33C1" w14:textId="77777777" w:rsidR="00EE0F87" w:rsidRPr="00EE0F87" w:rsidRDefault="00EE0F87" w:rsidP="00EE0F87">
            <w:pPr>
              <w:overflowPunct w:val="0"/>
              <w:autoSpaceDE w:val="0"/>
              <w:autoSpaceDN w:val="0"/>
              <w:adjustRightInd w:val="0"/>
              <w:jc w:val="center"/>
              <w:textAlignment w:val="baseline"/>
            </w:pPr>
            <w:r w:rsidRPr="00EE0F87">
              <w:rPr>
                <w:b/>
              </w:rPr>
              <w:t>2021</w:t>
            </w:r>
          </w:p>
        </w:tc>
        <w:tc>
          <w:tcPr>
            <w:tcW w:w="1669" w:type="dxa"/>
            <w:vAlign w:val="center"/>
          </w:tcPr>
          <w:p w14:paraId="3DBA738A" w14:textId="77777777" w:rsidR="00EE0F87" w:rsidRPr="00EE0F87" w:rsidRDefault="00EE0F87" w:rsidP="00EE0F87">
            <w:pPr>
              <w:overflowPunct w:val="0"/>
              <w:autoSpaceDE w:val="0"/>
              <w:autoSpaceDN w:val="0"/>
              <w:adjustRightInd w:val="0"/>
              <w:jc w:val="center"/>
              <w:textAlignment w:val="baseline"/>
              <w:rPr>
                <w:b/>
              </w:rPr>
            </w:pPr>
            <w:r w:rsidRPr="00EE0F87">
              <w:rPr>
                <w:b/>
              </w:rPr>
              <w:t>2022</w:t>
            </w:r>
          </w:p>
        </w:tc>
        <w:tc>
          <w:tcPr>
            <w:tcW w:w="1985" w:type="dxa"/>
            <w:vAlign w:val="center"/>
          </w:tcPr>
          <w:p w14:paraId="34EF5BDC" w14:textId="77777777" w:rsidR="00EE0F87" w:rsidRPr="00EE0F87" w:rsidRDefault="00EE0F87" w:rsidP="00EE0F87">
            <w:pPr>
              <w:overflowPunct w:val="0"/>
              <w:autoSpaceDE w:val="0"/>
              <w:autoSpaceDN w:val="0"/>
              <w:adjustRightInd w:val="0"/>
              <w:jc w:val="center"/>
              <w:textAlignment w:val="baseline"/>
            </w:pPr>
            <w:r w:rsidRPr="00EE0F87">
              <w:rPr>
                <w:b/>
              </w:rPr>
              <w:t>2021</w:t>
            </w:r>
          </w:p>
        </w:tc>
      </w:tr>
      <w:tr w:rsidR="00EE0F87" w:rsidRPr="00EE0F87" w14:paraId="56F8AD9B" w14:textId="77777777" w:rsidTr="00897EB6">
        <w:tc>
          <w:tcPr>
            <w:tcW w:w="1244" w:type="dxa"/>
            <w:vAlign w:val="center"/>
          </w:tcPr>
          <w:p w14:paraId="731D8892" w14:textId="77777777" w:rsidR="00EE0F87" w:rsidRPr="00EE0F87" w:rsidRDefault="00EE0F87" w:rsidP="00EE0F87">
            <w:pPr>
              <w:overflowPunct w:val="0"/>
              <w:autoSpaceDE w:val="0"/>
              <w:autoSpaceDN w:val="0"/>
              <w:adjustRightInd w:val="0"/>
              <w:textAlignment w:val="baseline"/>
            </w:pPr>
            <w:r w:rsidRPr="00EE0F87">
              <w:t>Revenue</w:t>
            </w:r>
          </w:p>
        </w:tc>
        <w:tc>
          <w:tcPr>
            <w:tcW w:w="1445" w:type="dxa"/>
            <w:vAlign w:val="center"/>
          </w:tcPr>
          <w:p w14:paraId="4F0D3157" w14:textId="77777777" w:rsidR="00EE0F87" w:rsidRPr="00EE0F87" w:rsidRDefault="00EE0F87" w:rsidP="00EE0F87">
            <w:pPr>
              <w:overflowPunct w:val="0"/>
              <w:autoSpaceDE w:val="0"/>
              <w:autoSpaceDN w:val="0"/>
              <w:adjustRightInd w:val="0"/>
              <w:jc w:val="center"/>
              <w:textAlignment w:val="baseline"/>
              <w:rPr>
                <w:b/>
              </w:rPr>
            </w:pPr>
            <w:r w:rsidRPr="00EE0F87">
              <w:rPr>
                <w:b/>
              </w:rPr>
              <w:t>29.9</w:t>
            </w:r>
          </w:p>
        </w:tc>
        <w:tc>
          <w:tcPr>
            <w:tcW w:w="1449" w:type="dxa"/>
            <w:vAlign w:val="center"/>
          </w:tcPr>
          <w:p w14:paraId="482AAA73" w14:textId="77777777" w:rsidR="00EE0F87" w:rsidRPr="00EE0F87" w:rsidRDefault="00EE0F87" w:rsidP="00EE0F87">
            <w:pPr>
              <w:overflowPunct w:val="0"/>
              <w:autoSpaceDE w:val="0"/>
              <w:autoSpaceDN w:val="0"/>
              <w:adjustRightInd w:val="0"/>
              <w:jc w:val="center"/>
              <w:textAlignment w:val="baseline"/>
            </w:pPr>
            <w:r w:rsidRPr="00EE0F87">
              <w:rPr>
                <w:b/>
              </w:rPr>
              <w:t>23.3</w:t>
            </w:r>
          </w:p>
        </w:tc>
        <w:tc>
          <w:tcPr>
            <w:tcW w:w="1669" w:type="dxa"/>
            <w:vAlign w:val="center"/>
          </w:tcPr>
          <w:p w14:paraId="27D9E16F" w14:textId="77777777" w:rsidR="00EE0F87" w:rsidRPr="00EE0F87" w:rsidRDefault="00EE0F87" w:rsidP="00EE0F87">
            <w:pPr>
              <w:overflowPunct w:val="0"/>
              <w:autoSpaceDE w:val="0"/>
              <w:autoSpaceDN w:val="0"/>
              <w:adjustRightInd w:val="0"/>
              <w:jc w:val="center"/>
              <w:textAlignment w:val="baseline"/>
              <w:rPr>
                <w:b/>
              </w:rPr>
            </w:pPr>
            <w:r w:rsidRPr="00EE0F87">
              <w:rPr>
                <w:b/>
              </w:rPr>
              <w:t>1.5</w:t>
            </w:r>
          </w:p>
        </w:tc>
        <w:tc>
          <w:tcPr>
            <w:tcW w:w="1985" w:type="dxa"/>
            <w:vAlign w:val="center"/>
          </w:tcPr>
          <w:p w14:paraId="6CAA2920" w14:textId="77777777" w:rsidR="00EE0F87" w:rsidRPr="00EE0F87" w:rsidRDefault="00EE0F87" w:rsidP="00EE0F87">
            <w:pPr>
              <w:overflowPunct w:val="0"/>
              <w:autoSpaceDE w:val="0"/>
              <w:autoSpaceDN w:val="0"/>
              <w:adjustRightInd w:val="0"/>
              <w:jc w:val="center"/>
              <w:textAlignment w:val="baseline"/>
            </w:pPr>
            <w:r w:rsidRPr="00EE0F87">
              <w:rPr>
                <w:b/>
              </w:rPr>
              <w:t>1.0</w:t>
            </w:r>
          </w:p>
        </w:tc>
      </w:tr>
      <w:tr w:rsidR="00EE0F87" w:rsidRPr="00EE0F87" w14:paraId="5B704661" w14:textId="77777777" w:rsidTr="00897EB6">
        <w:tc>
          <w:tcPr>
            <w:tcW w:w="1244" w:type="dxa"/>
            <w:vAlign w:val="center"/>
          </w:tcPr>
          <w:p w14:paraId="1D28EC40" w14:textId="77777777" w:rsidR="00EE0F87" w:rsidRPr="00EE0F87" w:rsidRDefault="00EE0F87" w:rsidP="00EE0F87">
            <w:pPr>
              <w:overflowPunct w:val="0"/>
              <w:autoSpaceDE w:val="0"/>
              <w:autoSpaceDN w:val="0"/>
              <w:adjustRightInd w:val="0"/>
              <w:textAlignment w:val="baseline"/>
            </w:pPr>
            <w:r w:rsidRPr="00EE0F87">
              <w:t>EBITDA</w:t>
            </w:r>
          </w:p>
        </w:tc>
        <w:tc>
          <w:tcPr>
            <w:tcW w:w="1445" w:type="dxa"/>
            <w:vAlign w:val="center"/>
          </w:tcPr>
          <w:p w14:paraId="45FC1E07" w14:textId="77777777" w:rsidR="00EE0F87" w:rsidRPr="00EE0F87" w:rsidRDefault="00EE0F87" w:rsidP="00EE0F87">
            <w:pPr>
              <w:overflowPunct w:val="0"/>
              <w:autoSpaceDE w:val="0"/>
              <w:autoSpaceDN w:val="0"/>
              <w:adjustRightInd w:val="0"/>
              <w:jc w:val="center"/>
              <w:textAlignment w:val="baseline"/>
              <w:rPr>
                <w:b/>
              </w:rPr>
            </w:pPr>
            <w:r w:rsidRPr="00EE0F87">
              <w:rPr>
                <w:b/>
              </w:rPr>
              <w:t>0.4</w:t>
            </w:r>
          </w:p>
        </w:tc>
        <w:tc>
          <w:tcPr>
            <w:tcW w:w="1449" w:type="dxa"/>
            <w:vAlign w:val="center"/>
          </w:tcPr>
          <w:p w14:paraId="7418D705" w14:textId="77777777" w:rsidR="00EE0F87" w:rsidRPr="00EE0F87" w:rsidRDefault="00EE0F87" w:rsidP="00EE0F87">
            <w:pPr>
              <w:overflowPunct w:val="0"/>
              <w:autoSpaceDE w:val="0"/>
              <w:autoSpaceDN w:val="0"/>
              <w:adjustRightInd w:val="0"/>
              <w:jc w:val="center"/>
              <w:textAlignment w:val="baseline"/>
            </w:pPr>
            <w:r w:rsidRPr="00EE0F87">
              <w:rPr>
                <w:b/>
              </w:rPr>
              <w:t>0.3</w:t>
            </w:r>
          </w:p>
        </w:tc>
        <w:tc>
          <w:tcPr>
            <w:tcW w:w="1669" w:type="dxa"/>
            <w:vAlign w:val="center"/>
          </w:tcPr>
          <w:p w14:paraId="77FDCAE8" w14:textId="77777777" w:rsidR="00EE0F87" w:rsidRPr="00EE0F87" w:rsidRDefault="00EE0F87" w:rsidP="00EE0F87">
            <w:pPr>
              <w:overflowPunct w:val="0"/>
              <w:autoSpaceDE w:val="0"/>
              <w:autoSpaceDN w:val="0"/>
              <w:adjustRightInd w:val="0"/>
              <w:jc w:val="center"/>
              <w:textAlignment w:val="baseline"/>
              <w:rPr>
                <w:b/>
              </w:rPr>
            </w:pPr>
            <w:r w:rsidRPr="00EE0F87">
              <w:rPr>
                <w:b/>
              </w:rPr>
              <w:t>0.5</w:t>
            </w:r>
          </w:p>
        </w:tc>
        <w:tc>
          <w:tcPr>
            <w:tcW w:w="1985" w:type="dxa"/>
            <w:vAlign w:val="center"/>
          </w:tcPr>
          <w:p w14:paraId="5E5E1C4B" w14:textId="77777777" w:rsidR="00EE0F87" w:rsidRPr="00EE0F87" w:rsidRDefault="00EE0F87" w:rsidP="00EE0F87">
            <w:pPr>
              <w:overflowPunct w:val="0"/>
              <w:autoSpaceDE w:val="0"/>
              <w:autoSpaceDN w:val="0"/>
              <w:adjustRightInd w:val="0"/>
              <w:jc w:val="center"/>
              <w:textAlignment w:val="baseline"/>
            </w:pPr>
            <w:r w:rsidRPr="00EE0F87">
              <w:rPr>
                <w:b/>
              </w:rPr>
              <w:t>0.1</w:t>
            </w:r>
          </w:p>
        </w:tc>
      </w:tr>
      <w:tr w:rsidR="00EE0F87" w:rsidRPr="00EE0F87" w14:paraId="4BDD3648" w14:textId="77777777" w:rsidTr="00897EB6">
        <w:tc>
          <w:tcPr>
            <w:tcW w:w="1244" w:type="dxa"/>
            <w:vAlign w:val="center"/>
          </w:tcPr>
          <w:p w14:paraId="7D48EEF8" w14:textId="77777777" w:rsidR="00EE0F87" w:rsidRPr="00EE0F87" w:rsidRDefault="00EE0F87" w:rsidP="00EE0F87">
            <w:pPr>
              <w:overflowPunct w:val="0"/>
              <w:autoSpaceDE w:val="0"/>
              <w:autoSpaceDN w:val="0"/>
              <w:adjustRightInd w:val="0"/>
              <w:textAlignment w:val="baseline"/>
            </w:pPr>
            <w:r w:rsidRPr="00EE0F87">
              <w:t>Operating Profit/(loss)</w:t>
            </w:r>
          </w:p>
        </w:tc>
        <w:tc>
          <w:tcPr>
            <w:tcW w:w="1445" w:type="dxa"/>
            <w:vAlign w:val="center"/>
          </w:tcPr>
          <w:p w14:paraId="7204AA55" w14:textId="77777777" w:rsidR="00EE0F87" w:rsidRPr="00EE0F87" w:rsidRDefault="00EE0F87" w:rsidP="00EE0F87">
            <w:pPr>
              <w:overflowPunct w:val="0"/>
              <w:autoSpaceDE w:val="0"/>
              <w:autoSpaceDN w:val="0"/>
              <w:adjustRightInd w:val="0"/>
              <w:jc w:val="center"/>
              <w:textAlignment w:val="baseline"/>
              <w:rPr>
                <w:b/>
              </w:rPr>
            </w:pPr>
            <w:r w:rsidRPr="00EE0F87">
              <w:rPr>
                <w:b/>
              </w:rPr>
              <w:t>0.4</w:t>
            </w:r>
          </w:p>
        </w:tc>
        <w:tc>
          <w:tcPr>
            <w:tcW w:w="1449" w:type="dxa"/>
            <w:vAlign w:val="center"/>
          </w:tcPr>
          <w:p w14:paraId="38078407" w14:textId="77777777" w:rsidR="00EE0F87" w:rsidRPr="00EE0F87" w:rsidRDefault="00EE0F87" w:rsidP="00EE0F87">
            <w:pPr>
              <w:overflowPunct w:val="0"/>
              <w:autoSpaceDE w:val="0"/>
              <w:autoSpaceDN w:val="0"/>
              <w:adjustRightInd w:val="0"/>
              <w:jc w:val="center"/>
              <w:textAlignment w:val="baseline"/>
            </w:pPr>
            <w:r w:rsidRPr="00EE0F87">
              <w:rPr>
                <w:b/>
              </w:rPr>
              <w:t>0.3</w:t>
            </w:r>
          </w:p>
        </w:tc>
        <w:tc>
          <w:tcPr>
            <w:tcW w:w="1669" w:type="dxa"/>
            <w:vAlign w:val="center"/>
          </w:tcPr>
          <w:p w14:paraId="1360D1D8" w14:textId="77777777" w:rsidR="00EE0F87" w:rsidRPr="00EE0F87" w:rsidRDefault="00EE0F87" w:rsidP="00EE0F87">
            <w:pPr>
              <w:overflowPunct w:val="0"/>
              <w:autoSpaceDE w:val="0"/>
              <w:autoSpaceDN w:val="0"/>
              <w:adjustRightInd w:val="0"/>
              <w:jc w:val="center"/>
              <w:textAlignment w:val="baseline"/>
              <w:rPr>
                <w:b/>
              </w:rPr>
            </w:pPr>
            <w:r w:rsidRPr="00EE0F87">
              <w:rPr>
                <w:b/>
              </w:rPr>
              <w:t>0.3</w:t>
            </w:r>
          </w:p>
        </w:tc>
        <w:tc>
          <w:tcPr>
            <w:tcW w:w="1985" w:type="dxa"/>
            <w:vAlign w:val="center"/>
          </w:tcPr>
          <w:p w14:paraId="045F0205" w14:textId="77777777" w:rsidR="00EE0F87" w:rsidRPr="00EE0F87" w:rsidRDefault="00EE0F87" w:rsidP="00EE0F87">
            <w:pPr>
              <w:overflowPunct w:val="0"/>
              <w:autoSpaceDE w:val="0"/>
              <w:autoSpaceDN w:val="0"/>
              <w:adjustRightInd w:val="0"/>
              <w:jc w:val="center"/>
              <w:textAlignment w:val="baseline"/>
            </w:pPr>
            <w:r w:rsidRPr="00EE0F87">
              <w:rPr>
                <w:b/>
              </w:rPr>
              <w:t>(0.8)</w:t>
            </w:r>
          </w:p>
        </w:tc>
      </w:tr>
      <w:tr w:rsidR="00EE0F87" w:rsidRPr="00EE0F87" w14:paraId="662300E5" w14:textId="77777777" w:rsidTr="00897EB6">
        <w:tc>
          <w:tcPr>
            <w:tcW w:w="1244" w:type="dxa"/>
            <w:vAlign w:val="center"/>
          </w:tcPr>
          <w:p w14:paraId="00785867" w14:textId="77777777" w:rsidR="00EE0F87" w:rsidRPr="00EE0F87" w:rsidRDefault="00EE0F87" w:rsidP="00EE0F87">
            <w:pPr>
              <w:overflowPunct w:val="0"/>
              <w:autoSpaceDE w:val="0"/>
              <w:autoSpaceDN w:val="0"/>
              <w:adjustRightInd w:val="0"/>
              <w:textAlignment w:val="baseline"/>
            </w:pPr>
            <w:r w:rsidRPr="00EE0F87">
              <w:t>Operating Margin</w:t>
            </w:r>
          </w:p>
        </w:tc>
        <w:tc>
          <w:tcPr>
            <w:tcW w:w="1445" w:type="dxa"/>
            <w:vAlign w:val="center"/>
          </w:tcPr>
          <w:p w14:paraId="23E41EA4" w14:textId="77777777" w:rsidR="00EE0F87" w:rsidRPr="00EE0F87" w:rsidRDefault="00EE0F87" w:rsidP="00EE0F87">
            <w:pPr>
              <w:overflowPunct w:val="0"/>
              <w:autoSpaceDE w:val="0"/>
              <w:autoSpaceDN w:val="0"/>
              <w:adjustRightInd w:val="0"/>
              <w:jc w:val="center"/>
              <w:textAlignment w:val="baseline"/>
              <w:rPr>
                <w:b/>
              </w:rPr>
            </w:pPr>
            <w:r w:rsidRPr="00EE0F87">
              <w:rPr>
                <w:b/>
              </w:rPr>
              <w:t>1.3%</w:t>
            </w:r>
          </w:p>
        </w:tc>
        <w:tc>
          <w:tcPr>
            <w:tcW w:w="1449" w:type="dxa"/>
            <w:vAlign w:val="center"/>
          </w:tcPr>
          <w:p w14:paraId="01784E67" w14:textId="77777777" w:rsidR="00EE0F87" w:rsidRPr="00EE0F87" w:rsidRDefault="00EE0F87" w:rsidP="00EE0F87">
            <w:pPr>
              <w:overflowPunct w:val="0"/>
              <w:autoSpaceDE w:val="0"/>
              <w:autoSpaceDN w:val="0"/>
              <w:adjustRightInd w:val="0"/>
              <w:jc w:val="center"/>
              <w:textAlignment w:val="baseline"/>
            </w:pPr>
            <w:r w:rsidRPr="00EE0F87">
              <w:rPr>
                <w:b/>
              </w:rPr>
              <w:t>1.3%</w:t>
            </w:r>
          </w:p>
        </w:tc>
        <w:tc>
          <w:tcPr>
            <w:tcW w:w="1669" w:type="dxa"/>
            <w:vAlign w:val="center"/>
          </w:tcPr>
          <w:p w14:paraId="7F6475B5" w14:textId="77777777" w:rsidR="00EE0F87" w:rsidRPr="00EE0F87" w:rsidRDefault="00EE0F87" w:rsidP="00EE0F87">
            <w:pPr>
              <w:overflowPunct w:val="0"/>
              <w:autoSpaceDE w:val="0"/>
              <w:autoSpaceDN w:val="0"/>
              <w:adjustRightInd w:val="0"/>
              <w:jc w:val="center"/>
              <w:textAlignment w:val="baseline"/>
              <w:rPr>
                <w:lang w:eastAsia="en-IE"/>
              </w:rPr>
            </w:pPr>
            <w:r w:rsidRPr="00EE0F87">
              <w:t>20%</w:t>
            </w:r>
          </w:p>
        </w:tc>
        <w:tc>
          <w:tcPr>
            <w:tcW w:w="1985" w:type="dxa"/>
            <w:vAlign w:val="center"/>
          </w:tcPr>
          <w:p w14:paraId="4C04905C" w14:textId="77777777" w:rsidR="00EE0F87" w:rsidRPr="00EE0F87" w:rsidRDefault="00EE0F87" w:rsidP="00EE0F87">
            <w:pPr>
              <w:overflowPunct w:val="0"/>
              <w:autoSpaceDE w:val="0"/>
              <w:autoSpaceDN w:val="0"/>
              <w:adjustRightInd w:val="0"/>
              <w:jc w:val="center"/>
              <w:textAlignment w:val="baseline"/>
            </w:pPr>
            <w:r w:rsidRPr="00EE0F87">
              <w:t>(80%)</w:t>
            </w:r>
          </w:p>
        </w:tc>
      </w:tr>
    </w:tbl>
    <w:p w14:paraId="67E64B79" w14:textId="77777777" w:rsidR="00EE0F87" w:rsidRPr="00EE0F87" w:rsidRDefault="00EE0F87" w:rsidP="00EE0F8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p>
    <w:p w14:paraId="08EA4B95" w14:textId="77777777" w:rsidR="00EE0F87" w:rsidRPr="00EE0F87" w:rsidRDefault="00EE0F87" w:rsidP="00EE0F8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p>
    <w:p w14:paraId="1F6258D1"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en-IE"/>
        </w:rPr>
      </w:pPr>
      <w:r w:rsidRPr="00EE0F87">
        <w:rPr>
          <w:rFonts w:ascii="Times New Roman" w:eastAsia="Times New Roman" w:hAnsi="Times New Roman" w:cs="Times New Roman"/>
          <w:b/>
          <w:sz w:val="24"/>
          <w:szCs w:val="24"/>
          <w:lang w:eastAsia="en-IE"/>
        </w:rPr>
        <w:t>Sourcing Division</w:t>
      </w:r>
    </w:p>
    <w:p w14:paraId="1AF5FA8F"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en-IE"/>
        </w:rPr>
      </w:pPr>
    </w:p>
    <w:p w14:paraId="6999EF01" w14:textId="77777777" w:rsidR="00EE0F87" w:rsidRPr="00EE0F87" w:rsidRDefault="00EE0F87" w:rsidP="00EE0F8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EE0F87">
        <w:rPr>
          <w:rFonts w:ascii="Times New Roman" w:eastAsia="Times New Roman" w:hAnsi="Times New Roman" w:cs="Times New Roman"/>
          <w:sz w:val="24"/>
          <w:szCs w:val="24"/>
          <w:lang w:val="en-US"/>
        </w:rPr>
        <w:t>Sales at our sourcing division increased by 28% in 2022, compared with the same period in 2021, from £23.3m to £29.9m. Operating profit improved from £0.3m to £0.4m.</w:t>
      </w:r>
    </w:p>
    <w:p w14:paraId="5172D5E6" w14:textId="77777777" w:rsidR="00EE0F87" w:rsidRPr="00EE0F87" w:rsidRDefault="00EE0F87" w:rsidP="00EE0F8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p>
    <w:p w14:paraId="3D84BEE8"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IE"/>
        </w:rPr>
      </w:pPr>
      <w:r w:rsidRPr="00EE0F87">
        <w:rPr>
          <w:rFonts w:ascii="Times New Roman" w:eastAsia="Times New Roman" w:hAnsi="Times New Roman" w:cs="Times New Roman"/>
          <w:sz w:val="24"/>
          <w:szCs w:val="24"/>
          <w:lang w:val="en-IE" w:eastAsia="en-IE"/>
        </w:rPr>
        <w:t xml:space="preserve">Townview Foods Ltd, continues to execute its commercial strategy which centres on diversification of products and end-markets. Our core animal proteins business continues to deliver consistent revenue and profits with a low-risk trading model and diversification of product sourcing and end-markets. From a standing start in March 2022, we have grown our dairy ingredients trading business into a significant operation both in terms of revenues and profits and we are confident about its prospects in 2023. We are also developing capability in plant-based ingredients which will allow us to offer a full portfolio of ingredient solutions to our customers. Operating margins declined slightly in the period, mainly due to the investment in talent, ICT and marketing. Overall, we are confident that our commercial strategy will continue to deliver profitable growth in 2023. </w:t>
      </w:r>
    </w:p>
    <w:p w14:paraId="289CA8C5" w14:textId="77777777" w:rsidR="00EE0F87" w:rsidRPr="00EE0F87" w:rsidRDefault="00EE0F87" w:rsidP="00EE0F8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p>
    <w:p w14:paraId="1D0342EB"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r w:rsidRPr="00EE0F87">
        <w:rPr>
          <w:rFonts w:ascii="Times New Roman" w:eastAsia="Times New Roman" w:hAnsi="Times New Roman" w:cs="Times New Roman"/>
          <w:sz w:val="24"/>
          <w:szCs w:val="24"/>
          <w:lang w:val="en-US"/>
        </w:rPr>
        <w:t>As part of a strategic alignment with Townview Foods Ltd, Foro International Connections Ltd was rebranded to Townview Sourcing Ltd in May 2022.</w:t>
      </w:r>
    </w:p>
    <w:p w14:paraId="212AF170"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p w14:paraId="077D14C8"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r w:rsidRPr="00EE0F87">
        <w:rPr>
          <w:rFonts w:ascii="Times New Roman" w:eastAsia="Times New Roman" w:hAnsi="Times New Roman" w:cs="Times New Roman"/>
          <w:sz w:val="24"/>
          <w:szCs w:val="24"/>
          <w:lang w:val="en-US"/>
        </w:rPr>
        <w:t>Townview Sourcing sales increased by 57% from £2.1m in 2021 to £3.3m in 2022.</w:t>
      </w:r>
    </w:p>
    <w:p w14:paraId="6492EDE2" w14:textId="77777777" w:rsidR="00EE0F87" w:rsidRPr="00EE0F87" w:rsidRDefault="00EE0F87" w:rsidP="00EE0F87">
      <w:pPr>
        <w:rPr>
          <w:rFonts w:ascii="Times New Roman" w:hAnsi="Times New Roman" w:cs="Times New Roman"/>
          <w:kern w:val="2"/>
          <w:sz w:val="24"/>
          <w:szCs w:val="24"/>
          <w:lang w:val="en-US"/>
        </w:rPr>
      </w:pPr>
      <w:r w:rsidRPr="00EE0F87">
        <w:rPr>
          <w:rFonts w:ascii="Times New Roman" w:hAnsi="Times New Roman" w:cs="Times New Roman"/>
          <w:kern w:val="2"/>
          <w:sz w:val="24"/>
          <w:szCs w:val="24"/>
          <w:lang w:val="en-US"/>
        </w:rPr>
        <w:t>The strategic alignment between Townview Foods Ltd and Townview Sourcing Ltd companies will create cost saving efficiencies and allow Roebuck Food Group Plc to have continuing ease of access to the UK, Republic of Ireland and European markets.</w:t>
      </w:r>
    </w:p>
    <w:p w14:paraId="73BCDDE6" w14:textId="77777777" w:rsidR="00EE0F87" w:rsidRPr="00EE0F87" w:rsidRDefault="00EE0F87" w:rsidP="00EE0F87">
      <w:pPr>
        <w:rPr>
          <w:rFonts w:ascii="Times New Roman" w:hAnsi="Times New Roman" w:cs="Times New Roman"/>
          <w:kern w:val="2"/>
          <w:sz w:val="24"/>
          <w:szCs w:val="24"/>
          <w:lang w:val="en-US"/>
        </w:rPr>
      </w:pPr>
      <w:r w:rsidRPr="00EE0F87">
        <w:rPr>
          <w:rFonts w:ascii="Times New Roman" w:hAnsi="Times New Roman" w:cs="Times New Roman"/>
          <w:kern w:val="2"/>
          <w:sz w:val="24"/>
          <w:szCs w:val="24"/>
          <w:lang w:val="en-US"/>
        </w:rPr>
        <w:t xml:space="preserve"> </w:t>
      </w:r>
    </w:p>
    <w:p w14:paraId="2F99C8DA" w14:textId="77777777" w:rsidR="00EE0F87" w:rsidRPr="00EE0F87" w:rsidRDefault="00EE0F87" w:rsidP="00EE0F87">
      <w:pPr>
        <w:pBdr>
          <w:bottom w:val="single" w:sz="8" w:space="5" w:color="000000"/>
        </w:pBdr>
        <w:suppressAutoHyphens/>
        <w:spacing w:after="0" w:line="288" w:lineRule="auto"/>
        <w:textAlignment w:val="center"/>
        <w:rPr>
          <w:rFonts w:ascii="Times New Roman" w:eastAsia="Times New Roman" w:hAnsi="Times New Roman" w:cs="Times New Roman"/>
          <w:b/>
          <w:bCs/>
          <w:caps/>
          <w:color w:val="000000"/>
          <w:sz w:val="30"/>
          <w:szCs w:val="30"/>
          <w:lang w:eastAsia="en-GB"/>
        </w:rPr>
      </w:pPr>
      <w:r w:rsidRPr="00EE0F87">
        <w:rPr>
          <w:rFonts w:ascii="Times New Roman" w:eastAsia="Times New Roman" w:hAnsi="Times New Roman" w:cs="Times New Roman"/>
          <w:b/>
          <w:bCs/>
          <w:caps/>
          <w:color w:val="000000"/>
          <w:sz w:val="30"/>
          <w:szCs w:val="30"/>
          <w:lang w:eastAsia="en-GB"/>
        </w:rPr>
        <w:lastRenderedPageBreak/>
        <w:t xml:space="preserve">Chairman’s Statement </w:t>
      </w:r>
      <w:r w:rsidRPr="00EE0F87">
        <w:rPr>
          <w:rFonts w:ascii="Times New Roman" w:eastAsia="Times New Roman" w:hAnsi="Times New Roman" w:cs="Times New Roman"/>
          <w:b/>
          <w:bCs/>
          <w:i/>
          <w:caps/>
          <w:color w:val="000000"/>
          <w:sz w:val="26"/>
          <w:szCs w:val="26"/>
          <w:lang w:eastAsia="en-GB"/>
        </w:rPr>
        <w:t>(Continued)</w:t>
      </w:r>
    </w:p>
    <w:p w14:paraId="39BB1642" w14:textId="77777777" w:rsidR="00EE0F87" w:rsidRPr="00EE0F87" w:rsidRDefault="00EE0F87" w:rsidP="00EE0F87">
      <w:pPr>
        <w:spacing w:before="100" w:beforeAutospacing="1" w:after="100" w:afterAutospacing="1" w:line="240" w:lineRule="auto"/>
        <w:rPr>
          <w:rFonts w:ascii="Times New Roman" w:eastAsia="Times New Roman" w:hAnsi="Times New Roman" w:cs="Times New Roman"/>
          <w:b/>
          <w:bCs/>
          <w:color w:val="000000"/>
          <w:sz w:val="24"/>
          <w:szCs w:val="24"/>
          <w:lang w:eastAsia="en-GB"/>
        </w:rPr>
      </w:pPr>
      <w:r w:rsidRPr="00EE0F87">
        <w:rPr>
          <w:rFonts w:ascii="Times New Roman" w:eastAsia="Times New Roman" w:hAnsi="Times New Roman" w:cs="Times New Roman"/>
          <w:b/>
          <w:bCs/>
          <w:color w:val="000000"/>
          <w:sz w:val="24"/>
          <w:szCs w:val="24"/>
          <w:lang w:eastAsia="en-GB"/>
        </w:rPr>
        <w:t>Dairy Division</w:t>
      </w:r>
    </w:p>
    <w:p w14:paraId="5951AB41"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IE"/>
        </w:rPr>
      </w:pPr>
      <w:r w:rsidRPr="00EE0F87">
        <w:rPr>
          <w:rFonts w:ascii="Times New Roman" w:eastAsia="Times New Roman" w:hAnsi="Times New Roman" w:cs="Times New Roman"/>
          <w:sz w:val="24"/>
          <w:szCs w:val="24"/>
          <w:lang w:val="en-IE" w:eastAsia="en-IE"/>
        </w:rPr>
        <w:t xml:space="preserve">Our primary dairy operation, Cantwellscourt Farm Ltd, exceeded expectations in 2022 in revenue and profit terms, driven by record dairy prices and good delivery across its management KPIs. Milk production was down 3% whilst revenue from milk sales was up 43% year on year. This was partially offset by input cost inflation, particularly in feed and fertiliser; our pasture-based system gives us some protection from rising input prices. </w:t>
      </w:r>
    </w:p>
    <w:p w14:paraId="2D23CF2E"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IE"/>
        </w:rPr>
      </w:pPr>
      <w:r w:rsidRPr="00EE0F87">
        <w:rPr>
          <w:rFonts w:ascii="Times New Roman" w:eastAsia="Times New Roman" w:hAnsi="Times New Roman" w:cs="Times New Roman"/>
          <w:sz w:val="24"/>
          <w:szCs w:val="24"/>
          <w:lang w:val="en-IE" w:eastAsia="en-IE"/>
        </w:rPr>
        <w:t xml:space="preserve">We expect the average farmgate milk price in 2023 to weaken versus last year but to remain at a level which delivers above average returns. </w:t>
      </w:r>
    </w:p>
    <w:p w14:paraId="51CFE722" w14:textId="77777777" w:rsidR="00EE0F87" w:rsidRPr="00EE0F87" w:rsidRDefault="00EE0F87" w:rsidP="00EE0F87">
      <w:pPr>
        <w:spacing w:before="100" w:beforeAutospacing="1" w:after="100" w:afterAutospacing="1" w:line="240" w:lineRule="auto"/>
        <w:rPr>
          <w:rFonts w:ascii="Times New Roman" w:eastAsia="Times New Roman" w:hAnsi="Times New Roman" w:cs="Times New Roman"/>
          <w:b/>
          <w:bCs/>
          <w:color w:val="000000"/>
          <w:sz w:val="24"/>
          <w:szCs w:val="24"/>
          <w:lang w:eastAsia="en-GB"/>
        </w:rPr>
      </w:pPr>
      <w:r w:rsidRPr="00EE0F87">
        <w:rPr>
          <w:rFonts w:ascii="Times New Roman" w:eastAsia="Times New Roman" w:hAnsi="Times New Roman" w:cs="Times New Roman"/>
          <w:b/>
          <w:bCs/>
          <w:color w:val="000000"/>
          <w:sz w:val="24"/>
          <w:szCs w:val="24"/>
          <w:lang w:eastAsia="en-GB"/>
        </w:rPr>
        <w:t>Discontinued</w:t>
      </w:r>
    </w:p>
    <w:p w14:paraId="2FE2F1DF"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en-IE"/>
        </w:rPr>
      </w:pPr>
      <w:r w:rsidRPr="00EE0F87">
        <w:rPr>
          <w:rFonts w:ascii="Times New Roman" w:eastAsia="Times New Roman" w:hAnsi="Times New Roman" w:cs="Times New Roman"/>
          <w:sz w:val="24"/>
          <w:szCs w:val="24"/>
          <w:lang w:eastAsia="en-IE"/>
        </w:rPr>
        <w:t>Our subsidiary, Grass to Milk Company Ltd, exited the Chinese market in H1 2022 due to ongoing lockdowns, supply chain disruptions and cost inflation. China has proven a difficult market for a majority of overseas dairy companies over the past 24-months with an unprecedented shift toward domestic supply. Opportunities for A2 protein ingredients in other export markets have failed to materialise, due to high dairy commodity prices making it difficult to achieve firm commitments from customers and a lack of interest from processors to dedicate capacity towards A2 during the scale-up phase. At this juncture, we do not have any immediate commercial prospects, so we have reclassified the business as a discontinued activity. Accordingly, we have impaired the intangible asset of £0.7m. The total loss from discontinued operations recogonised during the year is £1.1m.</w:t>
      </w:r>
    </w:p>
    <w:p w14:paraId="3065CEC8"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en-IE"/>
        </w:rPr>
      </w:pPr>
    </w:p>
    <w:p w14:paraId="4CBA8F2B"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lang w:eastAsia="en-IE"/>
        </w:rPr>
      </w:pPr>
      <w:r w:rsidRPr="00EE0F87">
        <w:rPr>
          <w:rFonts w:ascii="Times New Roman" w:eastAsia="Times New Roman" w:hAnsi="Times New Roman" w:cs="Times New Roman"/>
          <w:color w:val="000000"/>
          <w:sz w:val="24"/>
          <w:szCs w:val="24"/>
          <w:lang w:eastAsia="en-IE"/>
        </w:rPr>
        <w:t>During the year we also incurred an additional amount of £0.3m in respect of the sale of the cold store business that was sold in 2021.</w:t>
      </w:r>
    </w:p>
    <w:p w14:paraId="2C134D86" w14:textId="77777777" w:rsidR="00EE0F87" w:rsidRPr="00EE0F87" w:rsidRDefault="00EE0F87" w:rsidP="00EE0F87">
      <w:pPr>
        <w:spacing w:before="100" w:beforeAutospacing="1" w:after="100" w:afterAutospacing="1" w:line="240" w:lineRule="auto"/>
        <w:rPr>
          <w:rFonts w:ascii="Times New Roman" w:eastAsia="Times New Roman" w:hAnsi="Times New Roman" w:cs="Times New Roman"/>
          <w:b/>
          <w:bCs/>
          <w:color w:val="000000"/>
          <w:sz w:val="24"/>
          <w:szCs w:val="24"/>
          <w:lang w:eastAsia="en-GB"/>
        </w:rPr>
      </w:pPr>
      <w:r w:rsidRPr="00EE0F87">
        <w:rPr>
          <w:rFonts w:ascii="Times New Roman" w:eastAsia="Times New Roman" w:hAnsi="Times New Roman" w:cs="Times New Roman"/>
          <w:b/>
          <w:bCs/>
          <w:color w:val="000000"/>
          <w:sz w:val="24"/>
          <w:szCs w:val="24"/>
          <w:lang w:eastAsia="en-GB"/>
        </w:rPr>
        <w:t>Strategic Review</w:t>
      </w:r>
    </w:p>
    <w:p w14:paraId="7B91CC8B"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IE" w:eastAsia="en-IE"/>
        </w:rPr>
      </w:pPr>
      <w:r w:rsidRPr="00EE0F87">
        <w:rPr>
          <w:rFonts w:ascii="Times New Roman" w:eastAsia="Times New Roman" w:hAnsi="Times New Roman" w:cs="Times New Roman"/>
          <w:color w:val="000000"/>
          <w:sz w:val="24"/>
          <w:szCs w:val="24"/>
          <w:lang w:eastAsia="en-IE"/>
        </w:rPr>
        <w:t xml:space="preserve">Following the successful sale of the Cold Stores business, Roebuck Food Group PLC (RFG), formerly known as Norish PLC, returned £49.92m to shareholders at the end of 2021. </w:t>
      </w:r>
      <w:r w:rsidRPr="00EE0F87">
        <w:rPr>
          <w:rFonts w:ascii="Times New Roman" w:eastAsia="Times New Roman" w:hAnsi="Times New Roman" w:cs="Times New Roman"/>
          <w:sz w:val="24"/>
          <w:szCs w:val="24"/>
          <w:lang w:val="en-IE" w:eastAsia="en-IE"/>
        </w:rPr>
        <w:t xml:space="preserve">Overall, we believe our core sourcing and dairy businesses are well placed to deliver profitable growth in 2023, notwithstanding an expected reversal of some pricing tailwinds from 2022. We continue to examine M&amp;A opportunities, which can complement our existing businesses, which fulfil our criteria in terms of growth prospects, margins and returns. We remain focused on delivering shareholder value through efficient capital allocation. </w:t>
      </w:r>
    </w:p>
    <w:p w14:paraId="2360D98C" w14:textId="77777777" w:rsidR="00EE0F87" w:rsidRPr="00EE0F87" w:rsidRDefault="00EE0F87" w:rsidP="00EE0F87">
      <w:pPr>
        <w:spacing w:before="100" w:beforeAutospacing="1" w:after="100" w:afterAutospacing="1" w:line="240" w:lineRule="auto"/>
        <w:rPr>
          <w:rFonts w:ascii="Times New Roman" w:eastAsia="Times New Roman" w:hAnsi="Times New Roman" w:cs="Times New Roman"/>
          <w:b/>
          <w:bCs/>
          <w:color w:val="000000"/>
          <w:sz w:val="24"/>
          <w:szCs w:val="24"/>
          <w:lang w:eastAsia="en-GB"/>
        </w:rPr>
      </w:pPr>
      <w:r w:rsidRPr="00EE0F87">
        <w:rPr>
          <w:rFonts w:ascii="Times New Roman" w:eastAsia="Times New Roman" w:hAnsi="Times New Roman" w:cs="Times New Roman"/>
          <w:b/>
          <w:bCs/>
          <w:color w:val="000000"/>
          <w:sz w:val="24"/>
          <w:szCs w:val="24"/>
          <w:lang w:eastAsia="en-GB"/>
        </w:rPr>
        <w:t>Dividend</w:t>
      </w:r>
    </w:p>
    <w:p w14:paraId="55869CCF"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EE0F87">
        <w:rPr>
          <w:rFonts w:ascii="Times New Roman" w:eastAsia="Times New Roman" w:hAnsi="Times New Roman" w:cs="Times New Roman"/>
          <w:sz w:val="24"/>
          <w:szCs w:val="24"/>
        </w:rPr>
        <w:t>The board does not recommend the payment of a dividend</w:t>
      </w:r>
      <w:bookmarkStart w:id="0" w:name="_Hlk34367570"/>
      <w:r w:rsidRPr="00EE0F87">
        <w:rPr>
          <w:rFonts w:ascii="Times New Roman" w:eastAsia="Times New Roman" w:hAnsi="Times New Roman" w:cs="Times New Roman"/>
          <w:sz w:val="24"/>
          <w:szCs w:val="24"/>
        </w:rPr>
        <w:t>.</w:t>
      </w:r>
    </w:p>
    <w:p w14:paraId="283A9FF2" w14:textId="77777777" w:rsidR="00EE0F87" w:rsidRPr="00EE0F87" w:rsidRDefault="00EE0F87" w:rsidP="00EE0F87">
      <w:pPr>
        <w:spacing w:after="0" w:line="240" w:lineRule="auto"/>
        <w:jc w:val="both"/>
        <w:textAlignment w:val="baseline"/>
        <w:rPr>
          <w:rFonts w:ascii="Times New Roman" w:eastAsia="Times New Roman" w:hAnsi="Times New Roman" w:cs="Times New Roman"/>
          <w:sz w:val="24"/>
          <w:szCs w:val="24"/>
        </w:rPr>
      </w:pPr>
    </w:p>
    <w:p w14:paraId="6C16CC38" w14:textId="77777777" w:rsidR="00EE0F87" w:rsidRPr="00EE0F87" w:rsidRDefault="00EE0F87" w:rsidP="00EE0F87">
      <w:pPr>
        <w:spacing w:after="0" w:line="240" w:lineRule="auto"/>
        <w:jc w:val="both"/>
        <w:textAlignment w:val="baseline"/>
        <w:rPr>
          <w:rFonts w:ascii="Times New Roman" w:eastAsia="Times New Roman" w:hAnsi="Times New Roman" w:cs="Times New Roman"/>
          <w:noProof/>
          <w:sz w:val="24"/>
          <w:szCs w:val="24"/>
          <w:lang w:eastAsia="en-GB"/>
        </w:rPr>
      </w:pPr>
      <w:r w:rsidRPr="00EE0F87">
        <w:rPr>
          <w:rFonts w:ascii="Times New Roman" w:eastAsia="Times New Roman" w:hAnsi="Times New Roman" w:cs="Times New Roman"/>
          <w:sz w:val="24"/>
          <w:szCs w:val="24"/>
        </w:rPr>
        <w:t xml:space="preserve">On behalf of the board, I would like to thank the management team and staff for their commitment and contribution in 2022. </w:t>
      </w:r>
      <w:bookmarkEnd w:id="0"/>
    </w:p>
    <w:p w14:paraId="41A58138"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noProof/>
          <w:lang w:eastAsia="en-GB"/>
        </w:rPr>
      </w:pPr>
      <w:r w:rsidRPr="00EE0F87">
        <w:rPr>
          <w:rFonts w:ascii="Times New Roman" w:eastAsia="Times New Roman" w:hAnsi="Times New Roman" w:cs="Times New Roman"/>
          <w:noProof/>
          <w:lang w:val="en-IE" w:eastAsia="en-IE"/>
        </w:rPr>
        <w:drawing>
          <wp:inline distT="0" distB="0" distL="0" distR="0" wp14:anchorId="3F9B0836" wp14:editId="3996C3D7">
            <wp:extent cx="1653540" cy="495300"/>
            <wp:effectExtent l="19050" t="0" r="3810" b="0"/>
            <wp:docPr id="8" name="Picture 0" descr="Ted Oneil_Signa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ed Oneil_Signatures.jpg"/>
                    <pic:cNvPicPr>
                      <a:picLocks noChangeAspect="1" noChangeArrowheads="1"/>
                    </pic:cNvPicPr>
                  </pic:nvPicPr>
                  <pic:blipFill>
                    <a:blip r:embed="rId5" cstate="print"/>
                    <a:srcRect/>
                    <a:stretch>
                      <a:fillRect/>
                    </a:stretch>
                  </pic:blipFill>
                  <pic:spPr bwMode="auto">
                    <a:xfrm>
                      <a:off x="0" y="0"/>
                      <a:ext cx="1653540" cy="495300"/>
                    </a:xfrm>
                    <a:prstGeom prst="rect">
                      <a:avLst/>
                    </a:prstGeom>
                    <a:noFill/>
                    <a:ln w="9525">
                      <a:noFill/>
                      <a:miter lim="800000"/>
                      <a:headEnd/>
                      <a:tailEnd/>
                    </a:ln>
                  </pic:spPr>
                </pic:pic>
              </a:graphicData>
            </a:graphic>
          </wp:inline>
        </w:drawing>
      </w:r>
    </w:p>
    <w:p w14:paraId="055B2B5F" w14:textId="77777777" w:rsidR="00EE0F87" w:rsidRPr="00EE0F87" w:rsidRDefault="00EE0F87" w:rsidP="00EE0F87">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b/>
          <w:szCs w:val="20"/>
          <w:lang w:val="en-US" w:eastAsia="en-IE"/>
        </w:rPr>
      </w:pPr>
      <w:r w:rsidRPr="00EE0F87">
        <w:rPr>
          <w:rFonts w:ascii="Times New Roman" w:eastAsia="Times New Roman" w:hAnsi="Times New Roman" w:cs="Times New Roman"/>
          <w:b/>
          <w:szCs w:val="20"/>
          <w:lang w:val="en-US" w:eastAsia="en-IE"/>
        </w:rPr>
        <w:t>Ted O’Neill</w:t>
      </w:r>
    </w:p>
    <w:p w14:paraId="159B8FD1" w14:textId="77777777" w:rsidR="00EE0F87" w:rsidRPr="00EE0F87" w:rsidRDefault="00EE0F87" w:rsidP="00EE0F87">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b/>
          <w:szCs w:val="20"/>
          <w:lang w:val="en-US" w:eastAsia="en-IE"/>
        </w:rPr>
      </w:pPr>
      <w:r w:rsidRPr="00EE0F87">
        <w:rPr>
          <w:rFonts w:ascii="Times New Roman" w:eastAsia="Times New Roman" w:hAnsi="Times New Roman" w:cs="Times New Roman"/>
          <w:b/>
          <w:szCs w:val="20"/>
          <w:lang w:val="en-US" w:eastAsia="en-IE"/>
        </w:rPr>
        <w:t>31 March 202</w:t>
      </w:r>
      <w:bookmarkStart w:id="1" w:name="_Hlk1628624"/>
      <w:bookmarkStart w:id="2" w:name="_Hlk96680292"/>
      <w:r w:rsidRPr="00EE0F87">
        <w:rPr>
          <w:rFonts w:ascii="Times New Roman" w:eastAsia="Times New Roman" w:hAnsi="Times New Roman" w:cs="Times New Roman"/>
          <w:b/>
          <w:szCs w:val="20"/>
          <w:lang w:val="en-US" w:eastAsia="en-IE"/>
        </w:rPr>
        <w:t>3</w:t>
      </w:r>
    </w:p>
    <w:p w14:paraId="0BE8F02A" w14:textId="77777777" w:rsidR="00EE0F87" w:rsidRPr="00EE0F87" w:rsidRDefault="00EE0F87" w:rsidP="00EE0F87">
      <w:pPr>
        <w:pBdr>
          <w:bottom w:val="single" w:sz="8" w:space="5" w:color="000000"/>
        </w:pBdr>
        <w:suppressAutoHyphens/>
        <w:autoSpaceDE w:val="0"/>
        <w:autoSpaceDN w:val="0"/>
        <w:adjustRightInd w:val="0"/>
        <w:spacing w:after="0" w:line="288" w:lineRule="auto"/>
        <w:textAlignment w:val="center"/>
        <w:rPr>
          <w:rFonts w:ascii="Arial" w:eastAsia="Times New Roman" w:hAnsi="Arial" w:cs="Arial"/>
          <w:b/>
          <w:bCs/>
          <w:caps/>
          <w:color w:val="000000"/>
          <w:sz w:val="30"/>
          <w:szCs w:val="30"/>
          <w:lang w:eastAsia="en-GB"/>
        </w:rPr>
      </w:pPr>
      <w:bookmarkStart w:id="3" w:name="_Hlk34367637"/>
    </w:p>
    <w:p w14:paraId="02522752" w14:textId="77777777" w:rsidR="00EE0F87" w:rsidRPr="00EE0F87" w:rsidRDefault="00EE0F87" w:rsidP="00EE0F87">
      <w:pPr>
        <w:pBdr>
          <w:bottom w:val="single" w:sz="8" w:space="5" w:color="000000"/>
        </w:pBdr>
        <w:suppressAutoHyphens/>
        <w:autoSpaceDE w:val="0"/>
        <w:autoSpaceDN w:val="0"/>
        <w:adjustRightInd w:val="0"/>
        <w:spacing w:after="0" w:line="288" w:lineRule="auto"/>
        <w:textAlignment w:val="center"/>
        <w:rPr>
          <w:rFonts w:ascii="Arial" w:eastAsia="Times New Roman" w:hAnsi="Arial" w:cs="Arial"/>
          <w:b/>
          <w:bCs/>
          <w:caps/>
          <w:color w:val="000000"/>
          <w:sz w:val="30"/>
          <w:szCs w:val="30"/>
          <w:lang w:eastAsia="en-GB"/>
        </w:rPr>
      </w:pPr>
      <w:r w:rsidRPr="00EE0F87">
        <w:rPr>
          <w:rFonts w:ascii="Arial" w:eastAsia="Times New Roman" w:hAnsi="Arial" w:cs="Arial"/>
          <w:b/>
          <w:bCs/>
          <w:caps/>
          <w:color w:val="000000"/>
          <w:sz w:val="30"/>
          <w:szCs w:val="30"/>
          <w:lang w:eastAsia="en-GB"/>
        </w:rPr>
        <w:t>Financial Review</w:t>
      </w:r>
    </w:p>
    <w:p w14:paraId="24BB20C6"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p w14:paraId="39E51750" w14:textId="77777777" w:rsidR="00EE0F87" w:rsidRPr="00EE0F87" w:rsidRDefault="00EE0F87" w:rsidP="00EE0F87">
      <w:pPr>
        <w:spacing w:after="0" w:line="240" w:lineRule="auto"/>
        <w:jc w:val="both"/>
        <w:textAlignment w:val="baseline"/>
        <w:rPr>
          <w:rFonts w:ascii="Times New Roman" w:eastAsia="Times New Roman" w:hAnsi="Times New Roman" w:cs="Times New Roman"/>
          <w:b/>
          <w:bCs/>
          <w:color w:val="000000"/>
          <w:u w:val="single"/>
          <w:lang w:eastAsia="en-IE"/>
        </w:rPr>
      </w:pPr>
      <w:r w:rsidRPr="00EE0F87">
        <w:rPr>
          <w:rFonts w:ascii="Times New Roman" w:eastAsia="Times New Roman" w:hAnsi="Times New Roman" w:cs="Times New Roman"/>
          <w:b/>
          <w:bCs/>
          <w:color w:val="000000"/>
          <w:u w:val="single"/>
          <w:lang w:eastAsia="en-IE"/>
        </w:rPr>
        <w:t xml:space="preserve">Sales </w:t>
      </w:r>
    </w:p>
    <w:p w14:paraId="24BC1834" w14:textId="77777777" w:rsidR="00EE0F87" w:rsidRPr="00EE0F87" w:rsidRDefault="00EE0F87" w:rsidP="00EE0F87">
      <w:pPr>
        <w:spacing w:after="0" w:line="240" w:lineRule="auto"/>
        <w:jc w:val="both"/>
        <w:textAlignment w:val="baseline"/>
        <w:rPr>
          <w:rFonts w:ascii="Times New Roman" w:eastAsia="Times New Roman" w:hAnsi="Times New Roman" w:cs="Times New Roman"/>
          <w:b/>
          <w:bCs/>
          <w:color w:val="000000"/>
          <w:lang w:eastAsia="en-IE"/>
        </w:rPr>
      </w:pPr>
      <w:r w:rsidRPr="00EE0F87">
        <w:rPr>
          <w:rFonts w:ascii="Times New Roman" w:eastAsia="Times New Roman" w:hAnsi="Times New Roman" w:cs="Times New Roman"/>
          <w:b/>
          <w:bCs/>
          <w:color w:val="000000"/>
          <w:lang w:eastAsia="en-IE"/>
        </w:rPr>
        <w:t> </w:t>
      </w:r>
    </w:p>
    <w:p w14:paraId="5EF948F2" w14:textId="77777777" w:rsidR="00EE0F87" w:rsidRPr="00EE0F87" w:rsidRDefault="00EE0F87" w:rsidP="00EE0F87">
      <w:pPr>
        <w:spacing w:after="0" w:line="240" w:lineRule="auto"/>
        <w:jc w:val="both"/>
        <w:textAlignment w:val="baseline"/>
        <w:rPr>
          <w:rFonts w:ascii="Times New Roman" w:eastAsia="Times New Roman" w:hAnsi="Times New Roman" w:cs="Times New Roman"/>
          <w:lang w:val="en-US"/>
        </w:rPr>
      </w:pPr>
      <w:r w:rsidRPr="00EE0F87">
        <w:rPr>
          <w:rFonts w:ascii="Times New Roman" w:eastAsia="Times New Roman" w:hAnsi="Times New Roman" w:cs="Times New Roman"/>
          <w:lang w:val="en-US"/>
        </w:rPr>
        <w:t>Total Group revenue from continuing operations increased by 29% to £31.4m (2021: £24.3m).</w:t>
      </w:r>
      <w:r w:rsidRPr="00EE0F87">
        <w:rPr>
          <w:rFonts w:ascii="Times New Roman" w:eastAsia="Times New Roman" w:hAnsi="Times New Roman" w:cs="Times New Roman"/>
          <w:color w:val="000000"/>
          <w:lang w:eastAsia="en-IE"/>
        </w:rPr>
        <w:t xml:space="preserve"> Revenues in the sourcing division increased by 28% to £29.9m (2021: £23.3m). Revenues in the dairy division increased by 50% to £1.5m (2021: £1m)</w:t>
      </w:r>
    </w:p>
    <w:p w14:paraId="1C7065C0" w14:textId="77777777" w:rsidR="00EE0F87" w:rsidRPr="00EE0F87" w:rsidRDefault="00EE0F87" w:rsidP="00EE0F87">
      <w:pPr>
        <w:spacing w:after="0" w:line="240" w:lineRule="auto"/>
        <w:jc w:val="both"/>
        <w:textAlignment w:val="baseline"/>
        <w:rPr>
          <w:rFonts w:ascii="Times New Roman" w:eastAsia="Times New Roman" w:hAnsi="Times New Roman" w:cs="Times New Roman"/>
          <w:color w:val="000000"/>
          <w:lang w:eastAsia="en-IE"/>
        </w:rPr>
      </w:pPr>
    </w:p>
    <w:p w14:paraId="1EFC3791" w14:textId="77777777" w:rsidR="00EE0F87" w:rsidRPr="00EE0F87" w:rsidRDefault="00EE0F87" w:rsidP="00EE0F87">
      <w:pPr>
        <w:spacing w:after="0" w:line="240" w:lineRule="auto"/>
        <w:jc w:val="both"/>
        <w:textAlignment w:val="baseline"/>
        <w:rPr>
          <w:rFonts w:ascii="Times New Roman" w:eastAsia="Times New Roman" w:hAnsi="Times New Roman" w:cs="Times New Roman"/>
          <w:b/>
          <w:color w:val="000000"/>
          <w:u w:val="single"/>
          <w:lang w:eastAsia="en-IE"/>
        </w:rPr>
      </w:pPr>
      <w:r w:rsidRPr="00EE0F87">
        <w:rPr>
          <w:rFonts w:ascii="Times New Roman" w:eastAsia="Times New Roman" w:hAnsi="Times New Roman" w:cs="Times New Roman"/>
          <w:b/>
          <w:color w:val="000000"/>
          <w:u w:val="single"/>
          <w:lang w:eastAsia="en-IE"/>
        </w:rPr>
        <w:t>Gross profit</w:t>
      </w:r>
    </w:p>
    <w:p w14:paraId="4CEC6DB9" w14:textId="77777777" w:rsidR="00EE0F87" w:rsidRPr="00EE0F87" w:rsidRDefault="00EE0F87" w:rsidP="00EE0F87">
      <w:pPr>
        <w:spacing w:after="0" w:line="240" w:lineRule="auto"/>
        <w:jc w:val="both"/>
        <w:textAlignment w:val="baseline"/>
        <w:rPr>
          <w:rFonts w:ascii="Times New Roman" w:eastAsia="Times New Roman" w:hAnsi="Times New Roman" w:cs="Times New Roman"/>
          <w:color w:val="000000"/>
          <w:lang w:eastAsia="en-IE"/>
        </w:rPr>
      </w:pPr>
    </w:p>
    <w:p w14:paraId="253A26F4" w14:textId="77777777" w:rsidR="00EE0F87" w:rsidRPr="00EE0F87" w:rsidRDefault="00EE0F87" w:rsidP="00EE0F87">
      <w:pPr>
        <w:spacing w:after="0" w:line="240" w:lineRule="auto"/>
        <w:jc w:val="both"/>
        <w:textAlignment w:val="baseline"/>
        <w:rPr>
          <w:rFonts w:ascii="Times New Roman" w:eastAsia="Times New Roman" w:hAnsi="Times New Roman" w:cs="Times New Roman"/>
          <w:color w:val="000000"/>
          <w:lang w:eastAsia="en-IE"/>
        </w:rPr>
      </w:pPr>
      <w:r w:rsidRPr="00EE0F87">
        <w:rPr>
          <w:rFonts w:ascii="Times New Roman" w:eastAsia="Times New Roman" w:hAnsi="Times New Roman" w:cs="Times New Roman"/>
          <w:color w:val="000000"/>
          <w:lang w:eastAsia="en-IE"/>
        </w:rPr>
        <w:t xml:space="preserve">Gross profit from continuing activities increased to £571k (2021: £199k). </w:t>
      </w:r>
    </w:p>
    <w:p w14:paraId="42F522D3" w14:textId="77777777" w:rsidR="00EE0F87" w:rsidRPr="00EE0F87" w:rsidRDefault="00EE0F87" w:rsidP="00EE0F87">
      <w:pPr>
        <w:spacing w:after="0" w:line="240" w:lineRule="auto"/>
        <w:jc w:val="both"/>
        <w:textAlignment w:val="baseline"/>
        <w:rPr>
          <w:rFonts w:ascii="Times New Roman" w:eastAsia="Times New Roman" w:hAnsi="Times New Roman" w:cs="Times New Roman"/>
          <w:color w:val="000000"/>
          <w:lang w:eastAsia="en-IE"/>
        </w:rPr>
      </w:pPr>
    </w:p>
    <w:p w14:paraId="5145DDBB" w14:textId="77777777" w:rsidR="00EE0F87" w:rsidRPr="00EE0F87" w:rsidRDefault="00EE0F87" w:rsidP="00EE0F87">
      <w:pPr>
        <w:spacing w:after="0" w:line="240" w:lineRule="auto"/>
        <w:jc w:val="both"/>
        <w:textAlignment w:val="baseline"/>
        <w:rPr>
          <w:rFonts w:ascii="Times New Roman" w:eastAsia="Times New Roman" w:hAnsi="Times New Roman" w:cs="Times New Roman"/>
          <w:b/>
          <w:bCs/>
          <w:color w:val="000000"/>
          <w:u w:val="single"/>
          <w:lang w:eastAsia="en-IE"/>
        </w:rPr>
      </w:pPr>
      <w:r w:rsidRPr="00EE0F87">
        <w:rPr>
          <w:rFonts w:ascii="Times New Roman" w:eastAsia="Times New Roman" w:hAnsi="Times New Roman" w:cs="Times New Roman"/>
          <w:b/>
          <w:color w:val="000000"/>
          <w:u w:val="single"/>
          <w:lang w:eastAsia="en-IE"/>
        </w:rPr>
        <w:t>Operating profit/(loss)</w:t>
      </w:r>
    </w:p>
    <w:p w14:paraId="00582A0D" w14:textId="77777777" w:rsidR="00EE0F87" w:rsidRPr="00EE0F87" w:rsidRDefault="00EE0F87" w:rsidP="00EE0F87">
      <w:pPr>
        <w:spacing w:after="0" w:line="240" w:lineRule="auto"/>
        <w:jc w:val="both"/>
        <w:textAlignment w:val="baseline"/>
        <w:rPr>
          <w:rFonts w:ascii="Times New Roman" w:eastAsia="Times New Roman" w:hAnsi="Times New Roman" w:cs="Times New Roman"/>
          <w:b/>
          <w:color w:val="000000"/>
          <w:u w:val="single"/>
          <w:lang w:eastAsia="en-IE"/>
        </w:rPr>
      </w:pPr>
    </w:p>
    <w:p w14:paraId="5151E367" w14:textId="77777777" w:rsidR="00EE0F87" w:rsidRPr="00EE0F87" w:rsidRDefault="00EE0F87" w:rsidP="00EE0F87">
      <w:pPr>
        <w:spacing w:after="0" w:line="240" w:lineRule="auto"/>
        <w:jc w:val="both"/>
        <w:textAlignment w:val="baseline"/>
        <w:rPr>
          <w:rFonts w:ascii="Times New Roman" w:eastAsia="Times New Roman" w:hAnsi="Times New Roman" w:cs="Times New Roman"/>
          <w:color w:val="000000"/>
          <w:lang w:eastAsia="en-IE"/>
        </w:rPr>
      </w:pPr>
      <w:r w:rsidRPr="00EE0F87">
        <w:rPr>
          <w:rFonts w:ascii="Times New Roman" w:eastAsia="Times New Roman" w:hAnsi="Times New Roman" w:cs="Times New Roman"/>
          <w:color w:val="000000"/>
          <w:lang w:eastAsia="en-IE"/>
        </w:rPr>
        <w:t>Operating profit from continuing activities increased to £0.3m (2021: loss £1m), after an impairment charge of £Nil (2021: £0.9m relating to fixed assets).</w:t>
      </w:r>
    </w:p>
    <w:p w14:paraId="4D8DC67A" w14:textId="77777777" w:rsidR="00EE0F87" w:rsidRPr="00EE0F87" w:rsidRDefault="00EE0F87" w:rsidP="00EE0F87">
      <w:pPr>
        <w:spacing w:after="0" w:line="240" w:lineRule="auto"/>
        <w:jc w:val="both"/>
        <w:textAlignment w:val="baseline"/>
        <w:rPr>
          <w:rFonts w:ascii="Times New Roman" w:eastAsia="Times New Roman" w:hAnsi="Times New Roman" w:cs="Times New Roman"/>
          <w:color w:val="000000"/>
          <w:lang w:eastAsia="en-IE"/>
        </w:rPr>
      </w:pPr>
    </w:p>
    <w:p w14:paraId="5304194D" w14:textId="77777777" w:rsidR="00EE0F87" w:rsidRPr="00EE0F87" w:rsidRDefault="00EE0F87" w:rsidP="00EE0F87">
      <w:pPr>
        <w:spacing w:after="0" w:line="240" w:lineRule="auto"/>
        <w:jc w:val="both"/>
        <w:textAlignment w:val="baseline"/>
        <w:rPr>
          <w:rFonts w:ascii="Times New Roman" w:eastAsia="Times New Roman" w:hAnsi="Times New Roman" w:cs="Times New Roman"/>
          <w:b/>
          <w:color w:val="000000"/>
          <w:lang w:eastAsia="en-IE"/>
        </w:rPr>
      </w:pPr>
      <w:r w:rsidRPr="00EE0F87">
        <w:rPr>
          <w:rFonts w:ascii="Times New Roman" w:eastAsia="Times New Roman" w:hAnsi="Times New Roman" w:cs="Times New Roman"/>
          <w:b/>
          <w:color w:val="000000"/>
          <w:u w:val="single"/>
          <w:lang w:eastAsia="en-IE"/>
        </w:rPr>
        <w:t>Finance expense (net</w:t>
      </w:r>
      <w:r w:rsidRPr="00EE0F87">
        <w:rPr>
          <w:rFonts w:ascii="Times New Roman" w:eastAsia="Times New Roman" w:hAnsi="Times New Roman" w:cs="Times New Roman"/>
          <w:b/>
          <w:color w:val="000000"/>
          <w:lang w:eastAsia="en-IE"/>
        </w:rPr>
        <w:t xml:space="preserve">) </w:t>
      </w:r>
    </w:p>
    <w:p w14:paraId="5F4B76C9" w14:textId="77777777" w:rsidR="00EE0F87" w:rsidRPr="00EE0F87" w:rsidRDefault="00EE0F87" w:rsidP="00EE0F87">
      <w:pPr>
        <w:spacing w:after="0" w:line="240" w:lineRule="auto"/>
        <w:jc w:val="both"/>
        <w:textAlignment w:val="baseline"/>
        <w:rPr>
          <w:rFonts w:ascii="Times New Roman" w:eastAsia="Times New Roman" w:hAnsi="Times New Roman" w:cs="Times New Roman"/>
          <w:b/>
          <w:bCs/>
          <w:color w:val="000000"/>
          <w:u w:val="single"/>
          <w:lang w:eastAsia="en-IE"/>
        </w:rPr>
      </w:pPr>
    </w:p>
    <w:p w14:paraId="6D18F8B9" w14:textId="77777777" w:rsidR="00EE0F87" w:rsidRPr="00EE0F87" w:rsidRDefault="00EE0F87" w:rsidP="00EE0F87">
      <w:pPr>
        <w:spacing w:after="0" w:line="240" w:lineRule="auto"/>
        <w:jc w:val="both"/>
        <w:textAlignment w:val="baseline"/>
        <w:rPr>
          <w:rFonts w:ascii="Times New Roman" w:eastAsia="Times New Roman" w:hAnsi="Times New Roman" w:cs="Times New Roman"/>
          <w:color w:val="000000"/>
          <w:lang w:eastAsia="en-IE"/>
        </w:rPr>
      </w:pPr>
      <w:r w:rsidRPr="00EE0F87">
        <w:rPr>
          <w:rFonts w:ascii="Times New Roman" w:eastAsia="Times New Roman" w:hAnsi="Times New Roman" w:cs="Times New Roman"/>
          <w:color w:val="000000"/>
          <w:lang w:eastAsia="en-IE"/>
        </w:rPr>
        <w:t xml:space="preserve">Net Finance expense increased to £0.12m (2021: £0.06m). </w:t>
      </w:r>
    </w:p>
    <w:p w14:paraId="720ACD23" w14:textId="77777777" w:rsidR="00EE0F87" w:rsidRPr="00EE0F87" w:rsidRDefault="00EE0F87" w:rsidP="00EE0F87">
      <w:pPr>
        <w:spacing w:after="0" w:line="240" w:lineRule="auto"/>
        <w:jc w:val="both"/>
        <w:textAlignment w:val="baseline"/>
        <w:rPr>
          <w:rFonts w:ascii="Times New Roman" w:eastAsia="Times New Roman" w:hAnsi="Times New Roman" w:cs="Times New Roman"/>
          <w:color w:val="000000"/>
          <w:lang w:eastAsia="en-IE"/>
        </w:rPr>
      </w:pPr>
    </w:p>
    <w:p w14:paraId="236CA257" w14:textId="77777777" w:rsidR="00EE0F87" w:rsidRPr="00EE0F87" w:rsidRDefault="00EE0F87" w:rsidP="00EE0F87">
      <w:pPr>
        <w:spacing w:after="0" w:line="240" w:lineRule="auto"/>
        <w:jc w:val="both"/>
        <w:textAlignment w:val="baseline"/>
        <w:rPr>
          <w:rFonts w:ascii="Times New Roman" w:eastAsia="Times New Roman" w:hAnsi="Times New Roman" w:cs="Times New Roman"/>
          <w:b/>
          <w:color w:val="000000"/>
          <w:u w:val="single"/>
          <w:lang w:eastAsia="en-IE"/>
        </w:rPr>
      </w:pPr>
      <w:bookmarkStart w:id="4" w:name="_Hlk2770565"/>
      <w:r w:rsidRPr="00EE0F87">
        <w:rPr>
          <w:rFonts w:ascii="Times New Roman" w:eastAsia="Times New Roman" w:hAnsi="Times New Roman" w:cs="Times New Roman"/>
          <w:b/>
          <w:color w:val="000000"/>
          <w:u w:val="single"/>
          <w:lang w:eastAsia="en-IE"/>
        </w:rPr>
        <w:t>Loss from discontinued operations</w:t>
      </w:r>
    </w:p>
    <w:p w14:paraId="199CA95E" w14:textId="77777777" w:rsidR="00EE0F87" w:rsidRPr="00EE0F87" w:rsidRDefault="00EE0F87" w:rsidP="00EE0F87">
      <w:pPr>
        <w:spacing w:after="0" w:line="240" w:lineRule="auto"/>
        <w:jc w:val="both"/>
        <w:textAlignment w:val="baseline"/>
        <w:rPr>
          <w:rFonts w:ascii="Times New Roman" w:eastAsia="Times New Roman" w:hAnsi="Times New Roman" w:cs="Times New Roman"/>
          <w:b/>
          <w:color w:val="000000"/>
          <w:u w:val="single"/>
          <w:lang w:eastAsia="en-IE"/>
        </w:rPr>
      </w:pPr>
    </w:p>
    <w:p w14:paraId="2A1A32BF" w14:textId="77777777" w:rsidR="00EE0F87" w:rsidRPr="00EE0F87" w:rsidRDefault="00EE0F87" w:rsidP="00EE0F87">
      <w:pPr>
        <w:spacing w:after="0" w:line="240" w:lineRule="auto"/>
        <w:jc w:val="both"/>
        <w:textAlignment w:val="baseline"/>
        <w:rPr>
          <w:rFonts w:ascii="Times New Roman" w:eastAsia="Times New Roman" w:hAnsi="Times New Roman" w:cs="Times New Roman"/>
          <w:bCs/>
          <w:color w:val="000000"/>
          <w:lang w:eastAsia="en-IE"/>
        </w:rPr>
      </w:pPr>
      <w:r w:rsidRPr="00EE0F87">
        <w:rPr>
          <w:rFonts w:ascii="Times New Roman" w:eastAsia="Times New Roman" w:hAnsi="Times New Roman" w:cs="Times New Roman"/>
          <w:bCs/>
          <w:color w:val="000000"/>
          <w:lang w:eastAsia="en-IE"/>
        </w:rPr>
        <w:t>Loss from discontinued operations £1.4m (2021: profit £39.1m). Current year loss is made up of £0.3m relating to residual cold store sale transaction costs and £1.1m from the discontinued operations of Grass to Milk.</w:t>
      </w:r>
    </w:p>
    <w:bookmarkEnd w:id="4"/>
    <w:p w14:paraId="4A199AAF" w14:textId="77777777" w:rsidR="00EE0F87" w:rsidRPr="00EE0F87" w:rsidRDefault="00EE0F87" w:rsidP="00EE0F87">
      <w:pPr>
        <w:spacing w:after="0" w:line="240" w:lineRule="auto"/>
        <w:jc w:val="both"/>
        <w:textAlignment w:val="baseline"/>
        <w:rPr>
          <w:rFonts w:ascii="Times New Roman" w:eastAsia="Times New Roman" w:hAnsi="Times New Roman" w:cs="Times New Roman"/>
          <w:sz w:val="16"/>
          <w:szCs w:val="16"/>
          <w:lang w:eastAsia="en-IE"/>
        </w:rPr>
      </w:pPr>
    </w:p>
    <w:p w14:paraId="5350087C" w14:textId="77777777" w:rsidR="00EE0F87" w:rsidRPr="00EE0F87" w:rsidRDefault="00EE0F87" w:rsidP="00EE0F87">
      <w:pPr>
        <w:spacing w:after="0" w:line="240" w:lineRule="auto"/>
        <w:jc w:val="both"/>
        <w:textAlignment w:val="baseline"/>
        <w:rPr>
          <w:rFonts w:ascii="Times New Roman" w:eastAsia="Times New Roman" w:hAnsi="Times New Roman" w:cs="Times New Roman"/>
          <w:sz w:val="16"/>
          <w:szCs w:val="16"/>
          <w:lang w:eastAsia="en-IE"/>
        </w:rPr>
      </w:pPr>
    </w:p>
    <w:p w14:paraId="40625FE1" w14:textId="77777777" w:rsidR="00EE0F87" w:rsidRPr="00EE0F87" w:rsidRDefault="00EE0F87" w:rsidP="00EE0F87">
      <w:pPr>
        <w:spacing w:after="0" w:line="240" w:lineRule="auto"/>
        <w:jc w:val="both"/>
        <w:textAlignment w:val="baseline"/>
        <w:rPr>
          <w:rFonts w:ascii="Times New Roman" w:eastAsia="Times New Roman" w:hAnsi="Times New Roman" w:cs="Times New Roman"/>
          <w:b/>
          <w:color w:val="000000"/>
          <w:u w:val="single"/>
          <w:lang w:eastAsia="en-IE"/>
        </w:rPr>
      </w:pPr>
      <w:r w:rsidRPr="00EE0F87">
        <w:rPr>
          <w:rFonts w:ascii="Times New Roman" w:eastAsia="Times New Roman" w:hAnsi="Times New Roman" w:cs="Times New Roman"/>
          <w:b/>
          <w:color w:val="000000"/>
          <w:u w:val="single"/>
          <w:lang w:eastAsia="en-IE"/>
        </w:rPr>
        <w:t xml:space="preserve">Earnings per share </w:t>
      </w:r>
    </w:p>
    <w:p w14:paraId="1905049F" w14:textId="77777777" w:rsidR="00EE0F87" w:rsidRPr="00EE0F87" w:rsidRDefault="00EE0F87" w:rsidP="00EE0F87">
      <w:pPr>
        <w:spacing w:after="0" w:line="240" w:lineRule="auto"/>
        <w:jc w:val="both"/>
        <w:textAlignment w:val="baseline"/>
        <w:rPr>
          <w:rFonts w:ascii="Times New Roman" w:eastAsia="Times New Roman" w:hAnsi="Times New Roman" w:cs="Times New Roman"/>
          <w:color w:val="000000"/>
          <w:lang w:eastAsia="en-IE"/>
        </w:rPr>
      </w:pPr>
    </w:p>
    <w:p w14:paraId="708EFEFB" w14:textId="77777777" w:rsidR="00EE0F87" w:rsidRPr="00EE0F87" w:rsidRDefault="00EE0F87" w:rsidP="00EE0F87">
      <w:pPr>
        <w:autoSpaceDN w:val="0"/>
        <w:spacing w:after="0" w:line="240" w:lineRule="auto"/>
        <w:jc w:val="both"/>
        <w:textAlignment w:val="baseline"/>
        <w:rPr>
          <w:rFonts w:ascii="Times New Roman" w:eastAsia="Times New Roman" w:hAnsi="Times New Roman" w:cs="Times New Roman"/>
          <w:color w:val="FF0000"/>
          <w:lang w:eastAsia="en-IE"/>
        </w:rPr>
      </w:pPr>
      <w:r w:rsidRPr="00EE0F87">
        <w:rPr>
          <w:rFonts w:ascii="Times New Roman" w:eastAsia="Times New Roman" w:hAnsi="Times New Roman" w:cs="Times New Roman"/>
          <w:color w:val="000000"/>
          <w:lang w:eastAsia="en-IE"/>
        </w:rPr>
        <w:t xml:space="preserve">The basic adjusted earnings per share from continuing operations increased to 0.5p (2021: loss per share 3.5p). </w:t>
      </w:r>
    </w:p>
    <w:p w14:paraId="38D8DE5E" w14:textId="77777777" w:rsidR="00EE0F87" w:rsidRPr="00EE0F87" w:rsidRDefault="00EE0F87" w:rsidP="00EE0F87">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lang w:eastAsia="en-IE"/>
        </w:rPr>
      </w:pPr>
    </w:p>
    <w:p w14:paraId="72D7874C" w14:textId="77777777" w:rsidR="00EE0F87" w:rsidRPr="00EE0F87" w:rsidRDefault="00EE0F87" w:rsidP="00EE0F87">
      <w:pPr>
        <w:spacing w:after="0" w:line="240" w:lineRule="auto"/>
        <w:jc w:val="both"/>
        <w:textAlignment w:val="baseline"/>
        <w:rPr>
          <w:rFonts w:ascii="Times New Roman" w:eastAsia="Times New Roman" w:hAnsi="Times New Roman" w:cs="Times New Roman"/>
          <w:b/>
          <w:color w:val="000000"/>
          <w:u w:val="single"/>
          <w:lang w:eastAsia="en-IE"/>
        </w:rPr>
      </w:pPr>
    </w:p>
    <w:p w14:paraId="516E75EE" w14:textId="77777777" w:rsidR="00EE0F87" w:rsidRPr="00EE0F87" w:rsidRDefault="00EE0F87" w:rsidP="00EE0F87">
      <w:pPr>
        <w:spacing w:after="0" w:line="240" w:lineRule="auto"/>
        <w:jc w:val="both"/>
        <w:textAlignment w:val="baseline"/>
        <w:rPr>
          <w:rFonts w:ascii="Times New Roman" w:eastAsia="Times New Roman" w:hAnsi="Times New Roman" w:cs="Times New Roman"/>
          <w:b/>
          <w:color w:val="000000"/>
          <w:u w:val="single"/>
          <w:lang w:eastAsia="en-IE"/>
        </w:rPr>
      </w:pPr>
      <w:r w:rsidRPr="00EE0F87">
        <w:rPr>
          <w:rFonts w:ascii="Times New Roman" w:eastAsia="Times New Roman" w:hAnsi="Times New Roman" w:cs="Times New Roman"/>
          <w:b/>
          <w:color w:val="000000"/>
          <w:u w:val="single"/>
          <w:lang w:eastAsia="en-IE"/>
        </w:rPr>
        <w:t>Net Debt</w:t>
      </w:r>
    </w:p>
    <w:p w14:paraId="15AF071A" w14:textId="77777777" w:rsidR="00EE0F87" w:rsidRPr="00EE0F87" w:rsidRDefault="00EE0F87" w:rsidP="00EE0F87">
      <w:pPr>
        <w:spacing w:after="0" w:line="240" w:lineRule="auto"/>
        <w:jc w:val="both"/>
        <w:textAlignment w:val="baseline"/>
        <w:rPr>
          <w:rFonts w:ascii="Times New Roman" w:eastAsia="Times New Roman" w:hAnsi="Times New Roman" w:cs="Times New Roman"/>
          <w:b/>
          <w:color w:val="000000"/>
          <w:u w:val="single"/>
          <w:lang w:eastAsia="en-IE"/>
        </w:rPr>
      </w:pPr>
    </w:p>
    <w:p w14:paraId="76B0298A" w14:textId="77777777" w:rsidR="00EE0F87" w:rsidRPr="00EE0F87" w:rsidRDefault="00EE0F87" w:rsidP="00EE0F87">
      <w:pPr>
        <w:suppressAutoHyphens/>
        <w:autoSpaceDE w:val="0"/>
        <w:autoSpaceDN w:val="0"/>
        <w:adjustRightInd w:val="0"/>
        <w:spacing w:after="0" w:line="288" w:lineRule="auto"/>
        <w:textAlignment w:val="center"/>
        <w:rPr>
          <w:rFonts w:ascii="Times New Roman" w:eastAsia="Times New Roman" w:hAnsi="Times New Roman" w:cs="Times New Roman"/>
          <w:color w:val="000000"/>
          <w:lang w:eastAsia="en-IE"/>
        </w:rPr>
      </w:pPr>
      <w:r w:rsidRPr="00EE0F87">
        <w:rPr>
          <w:rFonts w:ascii="Times New Roman" w:eastAsia="Times New Roman" w:hAnsi="Times New Roman" w:cs="Times New Roman"/>
          <w:color w:val="000000"/>
          <w:lang w:eastAsia="en-IE"/>
        </w:rPr>
        <w:t>The net debt position is £3.4m (2021: Net cash £1.4m). During the year we discharged £1.5m in respect of liabilities due in respect of the disposal of the cold store division in 2021.</w:t>
      </w:r>
    </w:p>
    <w:p w14:paraId="5F367CB5" w14:textId="77777777" w:rsidR="00EE0F87" w:rsidRPr="00EE0F87" w:rsidRDefault="00EE0F87" w:rsidP="00EE0F87">
      <w:pPr>
        <w:suppressAutoHyphens/>
        <w:autoSpaceDE w:val="0"/>
        <w:autoSpaceDN w:val="0"/>
        <w:adjustRightInd w:val="0"/>
        <w:spacing w:after="0" w:line="288" w:lineRule="auto"/>
        <w:textAlignment w:val="center"/>
        <w:rPr>
          <w:rFonts w:ascii="Times New Roman" w:eastAsia="Times New Roman" w:hAnsi="Times New Roman" w:cs="Times New Roman"/>
          <w:color w:val="000000"/>
          <w:sz w:val="24"/>
          <w:szCs w:val="24"/>
          <w:lang w:eastAsia="en-IE"/>
        </w:rPr>
      </w:pPr>
    </w:p>
    <w:p w14:paraId="485B030C" w14:textId="77777777" w:rsidR="00EE0F87" w:rsidRPr="00EE0F87" w:rsidRDefault="00EE0F87" w:rsidP="00EE0F87">
      <w:pPr>
        <w:suppressAutoHyphens/>
        <w:autoSpaceDE w:val="0"/>
        <w:autoSpaceDN w:val="0"/>
        <w:adjustRightInd w:val="0"/>
        <w:spacing w:after="0" w:line="288" w:lineRule="auto"/>
        <w:textAlignment w:val="center"/>
        <w:rPr>
          <w:rFonts w:ascii="Times New Roman" w:eastAsia="Times New Roman" w:hAnsi="Times New Roman" w:cs="Times New Roman"/>
          <w:color w:val="000000"/>
          <w:lang w:eastAsia="en-IE"/>
        </w:rPr>
      </w:pPr>
    </w:p>
    <w:p w14:paraId="6690AE49" w14:textId="77777777" w:rsidR="00EE0F87" w:rsidRPr="00EE0F87" w:rsidRDefault="00EE0F87" w:rsidP="00EE0F87">
      <w:pPr>
        <w:suppressAutoHyphens/>
        <w:autoSpaceDE w:val="0"/>
        <w:autoSpaceDN w:val="0"/>
        <w:adjustRightInd w:val="0"/>
        <w:spacing w:after="0" w:line="288" w:lineRule="auto"/>
        <w:textAlignment w:val="center"/>
        <w:rPr>
          <w:rFonts w:ascii="Times New Roman" w:eastAsia="Times New Roman" w:hAnsi="Times New Roman" w:cs="Times New Roman"/>
          <w:color w:val="000000"/>
          <w:lang w:eastAsia="en-IE"/>
        </w:rPr>
      </w:pPr>
    </w:p>
    <w:p w14:paraId="577B18EF" w14:textId="77777777" w:rsidR="00EE0F87" w:rsidRPr="00EE0F87" w:rsidRDefault="00EE0F87" w:rsidP="00EE0F87">
      <w:pPr>
        <w:pBdr>
          <w:bottom w:val="single" w:sz="8" w:space="5" w:color="000000"/>
        </w:pBdr>
        <w:suppressAutoHyphens/>
        <w:autoSpaceDE w:val="0"/>
        <w:autoSpaceDN w:val="0"/>
        <w:adjustRightInd w:val="0"/>
        <w:spacing w:after="0" w:line="288" w:lineRule="auto"/>
        <w:textAlignment w:val="center"/>
        <w:rPr>
          <w:rFonts w:ascii="Arial" w:eastAsia="Times New Roman" w:hAnsi="Arial" w:cs="Arial"/>
          <w:b/>
          <w:bCs/>
          <w:caps/>
          <w:color w:val="000000"/>
          <w:sz w:val="30"/>
          <w:szCs w:val="30"/>
          <w:lang w:eastAsia="en-GB"/>
        </w:rPr>
      </w:pPr>
    </w:p>
    <w:p w14:paraId="287870AD" w14:textId="77777777" w:rsidR="00EE0F87" w:rsidRPr="00EE0F87" w:rsidRDefault="00EE0F87" w:rsidP="00EE0F87">
      <w:pPr>
        <w:pBdr>
          <w:bottom w:val="single" w:sz="8" w:space="5" w:color="000000"/>
        </w:pBdr>
        <w:suppressAutoHyphens/>
        <w:autoSpaceDE w:val="0"/>
        <w:autoSpaceDN w:val="0"/>
        <w:adjustRightInd w:val="0"/>
        <w:spacing w:after="0" w:line="288" w:lineRule="auto"/>
        <w:textAlignment w:val="center"/>
        <w:rPr>
          <w:rFonts w:ascii="Arial" w:eastAsia="Times New Roman" w:hAnsi="Arial" w:cs="Arial"/>
          <w:b/>
          <w:bCs/>
          <w:caps/>
          <w:color w:val="000000"/>
          <w:sz w:val="30"/>
          <w:szCs w:val="30"/>
          <w:lang w:eastAsia="en-GB"/>
        </w:rPr>
      </w:pPr>
    </w:p>
    <w:p w14:paraId="2F876D3F" w14:textId="77777777" w:rsidR="00EE0F87" w:rsidRPr="00EE0F87" w:rsidRDefault="00EE0F87" w:rsidP="00EE0F87">
      <w:pPr>
        <w:pBdr>
          <w:bottom w:val="single" w:sz="8" w:space="5" w:color="000000"/>
        </w:pBdr>
        <w:suppressAutoHyphens/>
        <w:autoSpaceDE w:val="0"/>
        <w:autoSpaceDN w:val="0"/>
        <w:adjustRightInd w:val="0"/>
        <w:spacing w:after="0" w:line="288" w:lineRule="auto"/>
        <w:textAlignment w:val="center"/>
        <w:rPr>
          <w:rFonts w:ascii="Arial" w:eastAsia="Times New Roman" w:hAnsi="Arial" w:cs="Arial"/>
          <w:b/>
          <w:bCs/>
          <w:caps/>
          <w:color w:val="000000"/>
          <w:sz w:val="30"/>
          <w:szCs w:val="30"/>
          <w:lang w:eastAsia="en-GB"/>
        </w:rPr>
      </w:pPr>
    </w:p>
    <w:p w14:paraId="7976DFE7" w14:textId="77777777" w:rsidR="00EE0F87" w:rsidRPr="00EE0F87" w:rsidRDefault="00EE0F87" w:rsidP="00EE0F87">
      <w:pPr>
        <w:pBdr>
          <w:bottom w:val="single" w:sz="8" w:space="5" w:color="000000"/>
        </w:pBdr>
        <w:suppressAutoHyphens/>
        <w:autoSpaceDE w:val="0"/>
        <w:autoSpaceDN w:val="0"/>
        <w:adjustRightInd w:val="0"/>
        <w:spacing w:after="0" w:line="288" w:lineRule="auto"/>
        <w:textAlignment w:val="center"/>
        <w:rPr>
          <w:rFonts w:ascii="Arial" w:eastAsia="Times New Roman" w:hAnsi="Arial" w:cs="Arial"/>
          <w:b/>
          <w:bCs/>
          <w:caps/>
          <w:color w:val="000000"/>
          <w:sz w:val="30"/>
          <w:szCs w:val="30"/>
          <w:lang w:eastAsia="en-GB"/>
        </w:rPr>
      </w:pPr>
    </w:p>
    <w:p w14:paraId="60788ED6" w14:textId="77777777" w:rsidR="00EE0F87" w:rsidRPr="00EE0F87" w:rsidRDefault="00EE0F87" w:rsidP="00EE0F87">
      <w:pPr>
        <w:pBdr>
          <w:bottom w:val="single" w:sz="8" w:space="5" w:color="000000"/>
        </w:pBdr>
        <w:suppressAutoHyphens/>
        <w:autoSpaceDE w:val="0"/>
        <w:autoSpaceDN w:val="0"/>
        <w:adjustRightInd w:val="0"/>
        <w:spacing w:after="0" w:line="288" w:lineRule="auto"/>
        <w:textAlignment w:val="center"/>
        <w:rPr>
          <w:rFonts w:ascii="Arial" w:eastAsia="Times New Roman" w:hAnsi="Arial" w:cs="Arial"/>
          <w:b/>
          <w:bCs/>
          <w:caps/>
          <w:color w:val="000000"/>
          <w:sz w:val="30"/>
          <w:szCs w:val="30"/>
          <w:lang w:eastAsia="en-GB"/>
        </w:rPr>
      </w:pPr>
    </w:p>
    <w:p w14:paraId="0C0C9391" w14:textId="77777777" w:rsidR="00EE0F87" w:rsidRPr="00EE0F87" w:rsidRDefault="00EE0F87" w:rsidP="00EE0F87">
      <w:pPr>
        <w:pBdr>
          <w:bottom w:val="single" w:sz="8" w:space="5" w:color="000000"/>
        </w:pBdr>
        <w:suppressAutoHyphens/>
        <w:autoSpaceDE w:val="0"/>
        <w:autoSpaceDN w:val="0"/>
        <w:adjustRightInd w:val="0"/>
        <w:spacing w:after="0" w:line="288" w:lineRule="auto"/>
        <w:textAlignment w:val="center"/>
        <w:rPr>
          <w:rFonts w:ascii="Arial" w:eastAsia="Times New Roman" w:hAnsi="Arial" w:cs="Arial"/>
          <w:b/>
          <w:bCs/>
          <w:caps/>
          <w:color w:val="000000"/>
          <w:sz w:val="30"/>
          <w:szCs w:val="30"/>
          <w:lang w:eastAsia="en-GB"/>
        </w:rPr>
      </w:pPr>
    </w:p>
    <w:p w14:paraId="5985E3C3" w14:textId="77777777" w:rsidR="00EE0F87" w:rsidRPr="00EE0F87" w:rsidRDefault="00EE0F87" w:rsidP="00EE0F87">
      <w:pPr>
        <w:pBdr>
          <w:bottom w:val="single" w:sz="8" w:space="5" w:color="000000"/>
        </w:pBdr>
        <w:suppressAutoHyphens/>
        <w:autoSpaceDE w:val="0"/>
        <w:autoSpaceDN w:val="0"/>
        <w:adjustRightInd w:val="0"/>
        <w:spacing w:after="0" w:line="288" w:lineRule="auto"/>
        <w:textAlignment w:val="center"/>
        <w:rPr>
          <w:rFonts w:ascii="Arial" w:eastAsia="Times New Roman" w:hAnsi="Arial" w:cs="Arial"/>
          <w:b/>
          <w:bCs/>
          <w:caps/>
          <w:color w:val="000000"/>
          <w:sz w:val="30"/>
          <w:szCs w:val="30"/>
          <w:lang w:eastAsia="en-GB"/>
        </w:rPr>
      </w:pPr>
      <w:r w:rsidRPr="00EE0F87">
        <w:rPr>
          <w:rFonts w:ascii="Arial" w:eastAsia="Times New Roman" w:hAnsi="Arial" w:cs="Arial"/>
          <w:b/>
          <w:bCs/>
          <w:caps/>
          <w:color w:val="000000"/>
          <w:sz w:val="30"/>
          <w:szCs w:val="30"/>
          <w:lang w:eastAsia="en-GB"/>
        </w:rPr>
        <w:lastRenderedPageBreak/>
        <w:t xml:space="preserve">Financial Review </w:t>
      </w:r>
      <w:r w:rsidRPr="00EE0F87">
        <w:rPr>
          <w:rFonts w:ascii="Arial" w:eastAsia="Times New Roman" w:hAnsi="Arial" w:cs="Arial"/>
          <w:b/>
          <w:bCs/>
          <w:i/>
          <w:caps/>
          <w:color w:val="000000"/>
          <w:sz w:val="26"/>
          <w:szCs w:val="26"/>
          <w:lang w:eastAsia="en-GB"/>
        </w:rPr>
        <w:t>(Continued)</w:t>
      </w:r>
    </w:p>
    <w:p w14:paraId="007F91A0" w14:textId="77777777" w:rsidR="00EE0F87" w:rsidRPr="00EE0F87" w:rsidRDefault="00EE0F87" w:rsidP="00EE0F87">
      <w:pPr>
        <w:spacing w:after="0" w:line="240" w:lineRule="auto"/>
        <w:jc w:val="both"/>
        <w:textAlignment w:val="baseline"/>
        <w:rPr>
          <w:rFonts w:ascii="Times New Roman" w:eastAsia="Times New Roman" w:hAnsi="Times New Roman" w:cs="Times New Roman"/>
          <w:b/>
          <w:u w:val="single"/>
        </w:rPr>
      </w:pPr>
      <w:bookmarkStart w:id="5" w:name="_Hlk65411589"/>
    </w:p>
    <w:p w14:paraId="39025C2D" w14:textId="77777777" w:rsidR="00EE0F87" w:rsidRPr="00EE0F87" w:rsidRDefault="00EE0F87" w:rsidP="00EE0F87">
      <w:pPr>
        <w:spacing w:after="0" w:line="240" w:lineRule="auto"/>
        <w:jc w:val="both"/>
        <w:textAlignment w:val="baseline"/>
        <w:rPr>
          <w:rFonts w:ascii="Times New Roman" w:eastAsia="Times New Roman" w:hAnsi="Times New Roman" w:cs="Times New Roman"/>
          <w:b/>
          <w:u w:val="single"/>
        </w:rPr>
      </w:pPr>
      <w:r w:rsidRPr="00EE0F87">
        <w:rPr>
          <w:rFonts w:ascii="Times New Roman" w:eastAsia="Times New Roman" w:hAnsi="Times New Roman" w:cs="Times New Roman"/>
          <w:b/>
          <w:u w:val="single"/>
        </w:rPr>
        <w:t>Dividend</w:t>
      </w:r>
    </w:p>
    <w:p w14:paraId="2A96F4E7" w14:textId="77777777" w:rsidR="00EE0F87" w:rsidRPr="00EE0F87" w:rsidRDefault="00EE0F87" w:rsidP="00EE0F87">
      <w:pPr>
        <w:numPr>
          <w:ilvl w:val="12"/>
          <w:numId w:val="0"/>
        </w:numPr>
        <w:spacing w:after="0" w:line="240" w:lineRule="auto"/>
        <w:jc w:val="both"/>
        <w:textAlignment w:val="baseline"/>
        <w:rPr>
          <w:rFonts w:ascii="Times New Roman" w:eastAsia="Times New Roman" w:hAnsi="Times New Roman" w:cs="Times New Roman"/>
        </w:rPr>
      </w:pPr>
    </w:p>
    <w:p w14:paraId="7C3E1CF4" w14:textId="77777777" w:rsidR="00EE0F87" w:rsidRPr="00EE0F87" w:rsidRDefault="00EE0F87" w:rsidP="00EE0F87">
      <w:pPr>
        <w:numPr>
          <w:ilvl w:val="12"/>
          <w:numId w:val="0"/>
        </w:numPr>
        <w:spacing w:after="0" w:line="240" w:lineRule="auto"/>
        <w:jc w:val="both"/>
        <w:textAlignment w:val="baseline"/>
        <w:rPr>
          <w:rFonts w:ascii="Times New Roman" w:eastAsia="Times New Roman" w:hAnsi="Times New Roman" w:cs="Times New Roman"/>
        </w:rPr>
      </w:pPr>
      <w:r w:rsidRPr="00EE0F87">
        <w:rPr>
          <w:rFonts w:ascii="Times New Roman" w:eastAsia="Times New Roman" w:hAnsi="Times New Roman" w:cs="Times New Roman"/>
        </w:rPr>
        <w:t>The board does not recommend a payment of a dividend.</w:t>
      </w:r>
    </w:p>
    <w:p w14:paraId="75E9B114" w14:textId="77777777" w:rsidR="00EE0F87" w:rsidRPr="00EE0F87" w:rsidRDefault="00EE0F87" w:rsidP="00EE0F87">
      <w:pPr>
        <w:numPr>
          <w:ilvl w:val="12"/>
          <w:numId w:val="0"/>
        </w:numPr>
        <w:overflowPunct w:val="0"/>
        <w:autoSpaceDE w:val="0"/>
        <w:autoSpaceDN w:val="0"/>
        <w:adjustRightInd w:val="0"/>
        <w:spacing w:after="120" w:line="240" w:lineRule="auto"/>
        <w:jc w:val="both"/>
        <w:textAlignment w:val="baseline"/>
        <w:rPr>
          <w:rFonts w:ascii="Times New Roman" w:eastAsia="Times New Roman" w:hAnsi="Times New Roman" w:cs="Times New Roman"/>
          <w:b/>
          <w:u w:val="single"/>
          <w:lang w:eastAsia="en-IE"/>
        </w:rPr>
      </w:pPr>
      <w:r w:rsidRPr="00EE0F87">
        <w:rPr>
          <w:rFonts w:ascii="Times New Roman" w:eastAsia="Times New Roman" w:hAnsi="Times New Roman" w:cs="Times New Roman"/>
          <w:b/>
          <w:u w:val="single"/>
          <w:lang w:eastAsia="en-IE"/>
        </w:rPr>
        <w:br/>
        <w:t>Treasury policy and management</w:t>
      </w:r>
    </w:p>
    <w:p w14:paraId="213B3099" w14:textId="77777777" w:rsidR="00EE0F87" w:rsidRPr="00EE0F87" w:rsidRDefault="00EE0F87" w:rsidP="00EE0F87">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lang w:val="en-US" w:eastAsia="en-IE"/>
        </w:rPr>
      </w:pPr>
      <w:r w:rsidRPr="00EE0F87">
        <w:rPr>
          <w:rFonts w:ascii="Times New Roman" w:eastAsia="Times New Roman" w:hAnsi="Times New Roman" w:cs="Times New Roman"/>
          <w:lang w:val="en-US" w:eastAsia="en-IE"/>
        </w:rPr>
        <w:t xml:space="preserve">The treasury function, which is managed centrally, handles all Group funding, debt, cash, working capital and foreign exchange exposures.  Group treasury policy concentrates on the </w:t>
      </w:r>
      <w:r w:rsidRPr="00EE0F87">
        <w:rPr>
          <w:rFonts w:ascii="Times New Roman" w:eastAsia="Times New Roman" w:hAnsi="Times New Roman" w:cs="Times New Roman"/>
          <w:lang w:eastAsia="en-IE"/>
        </w:rPr>
        <w:t>minimisation</w:t>
      </w:r>
      <w:r w:rsidRPr="00EE0F87">
        <w:rPr>
          <w:rFonts w:ascii="Times New Roman" w:eastAsia="Times New Roman" w:hAnsi="Times New Roman" w:cs="Times New Roman"/>
          <w:lang w:val="en-US" w:eastAsia="en-IE"/>
        </w:rPr>
        <w:t xml:space="preserve"> of risk in all of the above areas and is overseen</w:t>
      </w:r>
      <w:r w:rsidRPr="00EE0F87">
        <w:rPr>
          <w:rFonts w:ascii="Times New Roman" w:eastAsia="Times New Roman" w:hAnsi="Times New Roman" w:cs="Times New Roman"/>
          <w:lang w:eastAsia="en-IE"/>
        </w:rPr>
        <w:t xml:space="preserve"> </w:t>
      </w:r>
      <w:r w:rsidRPr="00EE0F87">
        <w:rPr>
          <w:rFonts w:ascii="Times New Roman" w:eastAsia="Times New Roman" w:hAnsi="Times New Roman" w:cs="Times New Roman"/>
          <w:lang w:val="en-US" w:eastAsia="en-IE"/>
        </w:rPr>
        <w:t xml:space="preserve">and approved by the Board. Speculative positions are not </w:t>
      </w:r>
      <w:r w:rsidRPr="00EE0F87">
        <w:rPr>
          <w:rFonts w:ascii="Times New Roman" w:eastAsia="Times New Roman" w:hAnsi="Times New Roman" w:cs="Times New Roman"/>
          <w:lang w:eastAsia="en-IE"/>
        </w:rPr>
        <w:t>taken</w:t>
      </w:r>
      <w:r w:rsidRPr="00EE0F87">
        <w:rPr>
          <w:rFonts w:ascii="Times New Roman" w:eastAsia="Times New Roman" w:hAnsi="Times New Roman" w:cs="Times New Roman"/>
          <w:lang w:val="en-US" w:eastAsia="en-IE"/>
        </w:rPr>
        <w:t>.</w:t>
      </w:r>
    </w:p>
    <w:p w14:paraId="76C41972" w14:textId="77777777" w:rsidR="00EE0F87" w:rsidRPr="00EE0F87" w:rsidRDefault="00EE0F87" w:rsidP="00EE0F87">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lang w:val="en-US" w:eastAsia="en-IE"/>
        </w:rPr>
      </w:pPr>
    </w:p>
    <w:p w14:paraId="5C112FA3" w14:textId="77777777" w:rsidR="00EE0F87" w:rsidRPr="00EE0F87" w:rsidRDefault="00EE0F87" w:rsidP="00EE0F87">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
          <w:u w:val="single"/>
          <w:lang w:eastAsia="en-IE"/>
        </w:rPr>
      </w:pPr>
      <w:r w:rsidRPr="00EE0F87">
        <w:rPr>
          <w:rFonts w:ascii="Times New Roman" w:eastAsia="Times New Roman" w:hAnsi="Times New Roman" w:cs="Times New Roman"/>
          <w:b/>
          <w:u w:val="single"/>
          <w:lang w:eastAsia="en-IE"/>
        </w:rPr>
        <w:t>Financial risk management</w:t>
      </w:r>
    </w:p>
    <w:p w14:paraId="1A5D588F" w14:textId="77777777" w:rsidR="00EE0F87" w:rsidRPr="00EE0F87" w:rsidRDefault="00EE0F87" w:rsidP="00EE0F87">
      <w:pPr>
        <w:numPr>
          <w:ilvl w:val="12"/>
          <w:numId w:val="0"/>
        </w:numPr>
        <w:overflowPunct w:val="0"/>
        <w:autoSpaceDE w:val="0"/>
        <w:autoSpaceDN w:val="0"/>
        <w:adjustRightInd w:val="0"/>
        <w:spacing w:after="0" w:line="240" w:lineRule="auto"/>
        <w:jc w:val="both"/>
        <w:textAlignment w:val="baseline"/>
        <w:rPr>
          <w:rFonts w:ascii="Helvetica" w:eastAsia="Times New Roman" w:hAnsi="Helvetica" w:cs="Times New Roman"/>
          <w:i/>
          <w:spacing w:val="-5"/>
          <w:lang w:eastAsia="en-IE"/>
        </w:rPr>
      </w:pPr>
    </w:p>
    <w:p w14:paraId="0A1B1F59" w14:textId="77777777" w:rsidR="00EE0F87" w:rsidRPr="00EE0F87" w:rsidRDefault="00EE0F87" w:rsidP="00EE0F87">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en-IE"/>
        </w:rPr>
      </w:pPr>
      <w:r w:rsidRPr="00EE0F87">
        <w:rPr>
          <w:rFonts w:ascii="Times New Roman" w:eastAsia="Times New Roman" w:hAnsi="Times New Roman" w:cs="Times New Roman"/>
          <w:lang w:eastAsia="en-IE"/>
        </w:rPr>
        <w:t xml:space="preserve">The Group’s financial instruments comprise borrowings, cash, and various items, such as trade receivables, trade payables etc., that arise directly from its operations.  The main purposes of the financial instruments not arising directly from operations is to raise finance for the Group’s operations. </w:t>
      </w:r>
    </w:p>
    <w:p w14:paraId="4D8E520D" w14:textId="77777777" w:rsidR="00EE0F87" w:rsidRPr="00EE0F87" w:rsidRDefault="00EE0F87" w:rsidP="00EE0F87">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en-IE"/>
        </w:rPr>
      </w:pPr>
    </w:p>
    <w:p w14:paraId="67EEA9D1" w14:textId="77777777" w:rsidR="00EE0F87" w:rsidRPr="00EE0F87" w:rsidRDefault="00EE0F87" w:rsidP="00EE0F87">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en-IE"/>
        </w:rPr>
      </w:pPr>
      <w:r w:rsidRPr="00EE0F87">
        <w:rPr>
          <w:rFonts w:ascii="Times New Roman" w:eastAsia="Times New Roman" w:hAnsi="Times New Roman" w:cs="Times New Roman"/>
          <w:lang w:eastAsia="en-IE"/>
        </w:rPr>
        <w:t xml:space="preserve">The Group may enter into derivative transactions such as interest rate swaps, caps or forward foreign currency transactions in order to minimise its risks.  The purpose of such transactions is to manage the interest rate and currency risks arising from the Group’s operations and its sources of finance.  </w:t>
      </w:r>
    </w:p>
    <w:p w14:paraId="49F5A2BF" w14:textId="77777777" w:rsidR="00EE0F87" w:rsidRPr="00EE0F87" w:rsidRDefault="00EE0F87" w:rsidP="00EE0F87">
      <w:pPr>
        <w:spacing w:after="0" w:line="240" w:lineRule="auto"/>
        <w:textAlignment w:val="baseline"/>
        <w:rPr>
          <w:rFonts w:ascii="Times New Roman" w:eastAsia="Times New Roman" w:hAnsi="Times New Roman" w:cs="Times New Roman"/>
          <w:color w:val="000000"/>
          <w:lang w:eastAsia="en-IE"/>
        </w:rPr>
      </w:pPr>
    </w:p>
    <w:p w14:paraId="6F7161D6" w14:textId="77777777" w:rsidR="00EE0F87" w:rsidRPr="00EE0F87" w:rsidRDefault="00EE0F87" w:rsidP="00EE0F87">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lang w:val="en-US" w:eastAsia="en-IE"/>
        </w:rPr>
      </w:pPr>
      <w:r w:rsidRPr="00EE0F87">
        <w:rPr>
          <w:rFonts w:ascii="Times" w:eastAsia="Times New Roman" w:hAnsi="Times" w:cs="Times New Roman"/>
          <w:lang w:eastAsia="en-IE"/>
        </w:rPr>
        <w:t>The main risks arising from the Group’s financial instruments are interest rate risk, liquidity risk, credit risk and foreign exchange risk.  The Group’s policies for managing each of these risks are summarised below.</w:t>
      </w:r>
    </w:p>
    <w:p w14:paraId="6BC33085" w14:textId="77777777" w:rsidR="00EE0F87" w:rsidRPr="00EE0F87" w:rsidRDefault="00EE0F87" w:rsidP="00EE0F87">
      <w:pPr>
        <w:keepNext/>
        <w:numPr>
          <w:ilvl w:val="12"/>
          <w:numId w:val="0"/>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u w:val="single"/>
          <w:lang w:eastAsia="en-IE"/>
        </w:rPr>
      </w:pPr>
    </w:p>
    <w:p w14:paraId="3A29602B" w14:textId="77777777" w:rsidR="00EE0F87" w:rsidRPr="00EE0F87" w:rsidRDefault="00EE0F87" w:rsidP="00EE0F87">
      <w:pPr>
        <w:keepNext/>
        <w:numPr>
          <w:ilvl w:val="12"/>
          <w:numId w:val="0"/>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u w:val="single"/>
          <w:lang w:eastAsia="en-IE"/>
        </w:rPr>
      </w:pPr>
      <w:r w:rsidRPr="00EE0F87">
        <w:rPr>
          <w:rFonts w:ascii="Times New Roman" w:eastAsia="Times New Roman" w:hAnsi="Times New Roman" w:cs="Times New Roman"/>
          <w:b/>
          <w:u w:val="single"/>
          <w:lang w:eastAsia="en-IE"/>
        </w:rPr>
        <w:t>Interest rate risk</w:t>
      </w:r>
    </w:p>
    <w:p w14:paraId="605B2337" w14:textId="77777777" w:rsidR="00EE0F87" w:rsidRPr="00EE0F87" w:rsidRDefault="00EE0F87" w:rsidP="00EE0F87">
      <w:pPr>
        <w:keepNext/>
        <w:numPr>
          <w:ilvl w:val="12"/>
          <w:numId w:val="0"/>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i/>
          <w:lang w:eastAsia="en-IE"/>
        </w:rPr>
      </w:pPr>
    </w:p>
    <w:p w14:paraId="2362EDC4" w14:textId="77777777" w:rsidR="00EE0F87" w:rsidRPr="00EE0F87" w:rsidRDefault="00EE0F87" w:rsidP="00EE0F87">
      <w:pPr>
        <w:numPr>
          <w:ilvl w:val="12"/>
          <w:numId w:val="0"/>
        </w:numPr>
        <w:overflowPunct w:val="0"/>
        <w:autoSpaceDE w:val="0"/>
        <w:autoSpaceDN w:val="0"/>
        <w:adjustRightInd w:val="0"/>
        <w:spacing w:after="0" w:line="240" w:lineRule="auto"/>
        <w:ind w:right="-114"/>
        <w:jc w:val="both"/>
        <w:textAlignment w:val="baseline"/>
        <w:rPr>
          <w:rFonts w:ascii="Times New Roman" w:eastAsia="Times New Roman" w:hAnsi="Times New Roman" w:cs="Times New Roman"/>
          <w:lang w:eastAsia="en-IE"/>
        </w:rPr>
      </w:pPr>
      <w:r w:rsidRPr="00EE0F87">
        <w:rPr>
          <w:rFonts w:ascii="Times New Roman" w:eastAsia="Times New Roman" w:hAnsi="Times New Roman" w:cs="Times New Roman"/>
          <w:lang w:eastAsia="en-IE"/>
        </w:rPr>
        <w:t xml:space="preserve">The Group finances its operations through a mixture of retained profits, bank and other borrowings at both fixed and floating rates of interest and working capital.  The Group determines the level of borrowings at fixed rates of interest having regard to current market rates and future trends.  At the year-end there are £0.1m at a floating rate of 5.44%. </w:t>
      </w:r>
    </w:p>
    <w:p w14:paraId="25484A8D" w14:textId="77777777" w:rsidR="00EE0F87" w:rsidRPr="00EE0F87" w:rsidRDefault="00EE0F87" w:rsidP="00EE0F87">
      <w:pPr>
        <w:numPr>
          <w:ilvl w:val="12"/>
          <w:numId w:val="0"/>
        </w:numPr>
        <w:overflowPunct w:val="0"/>
        <w:autoSpaceDE w:val="0"/>
        <w:autoSpaceDN w:val="0"/>
        <w:adjustRightInd w:val="0"/>
        <w:spacing w:after="0" w:line="240" w:lineRule="auto"/>
        <w:ind w:right="-114"/>
        <w:jc w:val="both"/>
        <w:textAlignment w:val="baseline"/>
        <w:rPr>
          <w:rFonts w:ascii="Times New Roman" w:eastAsia="Times New Roman" w:hAnsi="Times New Roman" w:cs="Times New Roman"/>
          <w:lang w:eastAsia="en-IE"/>
        </w:rPr>
      </w:pPr>
    </w:p>
    <w:p w14:paraId="6160CE99" w14:textId="77777777" w:rsidR="00EE0F87" w:rsidRPr="00EE0F87" w:rsidRDefault="00EE0F87" w:rsidP="00EE0F87">
      <w:pPr>
        <w:keepNext/>
        <w:numPr>
          <w:ilvl w:val="12"/>
          <w:numId w:val="0"/>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u w:val="single"/>
          <w:lang w:eastAsia="en-IE"/>
        </w:rPr>
      </w:pPr>
      <w:r w:rsidRPr="00EE0F87">
        <w:rPr>
          <w:rFonts w:ascii="Times New Roman" w:eastAsia="Times New Roman" w:hAnsi="Times New Roman" w:cs="Times New Roman"/>
          <w:b/>
          <w:u w:val="single"/>
          <w:lang w:eastAsia="en-IE"/>
        </w:rPr>
        <w:t>Liquidity risk</w:t>
      </w:r>
    </w:p>
    <w:p w14:paraId="59E2B971" w14:textId="77777777" w:rsidR="00EE0F87" w:rsidRPr="00EE0F87" w:rsidRDefault="00EE0F87" w:rsidP="00EE0F87">
      <w:pPr>
        <w:keepNext/>
        <w:numPr>
          <w:ilvl w:val="12"/>
          <w:numId w:val="0"/>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i/>
          <w:lang w:eastAsia="en-IE"/>
        </w:rPr>
      </w:pPr>
    </w:p>
    <w:p w14:paraId="69F11989" w14:textId="77777777" w:rsidR="00EE0F87" w:rsidRPr="00EE0F87" w:rsidRDefault="00EE0F87" w:rsidP="00EE0F87">
      <w:pPr>
        <w:numPr>
          <w:ilvl w:val="12"/>
          <w:numId w:val="0"/>
        </w:numPr>
        <w:overflowPunct w:val="0"/>
        <w:autoSpaceDE w:val="0"/>
        <w:autoSpaceDN w:val="0"/>
        <w:adjustRightInd w:val="0"/>
        <w:spacing w:after="0" w:line="240" w:lineRule="auto"/>
        <w:ind w:right="-114"/>
        <w:jc w:val="both"/>
        <w:textAlignment w:val="baseline"/>
        <w:rPr>
          <w:rFonts w:ascii="Times New Roman" w:eastAsia="Times New Roman" w:hAnsi="Times New Roman" w:cs="Times New Roman"/>
          <w:lang w:eastAsia="en-IE"/>
        </w:rPr>
      </w:pPr>
      <w:r w:rsidRPr="00EE0F87">
        <w:rPr>
          <w:rFonts w:ascii="Times New Roman" w:eastAsia="Times New Roman" w:hAnsi="Times New Roman" w:cs="Times New Roman"/>
          <w:lang w:eastAsia="en-IE"/>
        </w:rPr>
        <w:t>The Group is in a net debt position of £3.4m. This is made up of cash of £1.5m, Invoice financing of £3.7m, term loans of £0.1m and leases of £1.1m.</w:t>
      </w:r>
    </w:p>
    <w:p w14:paraId="616D95C7" w14:textId="77777777" w:rsidR="00EE0F87" w:rsidRPr="00EE0F87" w:rsidRDefault="00EE0F87" w:rsidP="00EE0F87">
      <w:pPr>
        <w:numPr>
          <w:ilvl w:val="12"/>
          <w:numId w:val="0"/>
        </w:numPr>
        <w:overflowPunct w:val="0"/>
        <w:autoSpaceDE w:val="0"/>
        <w:autoSpaceDN w:val="0"/>
        <w:adjustRightInd w:val="0"/>
        <w:spacing w:after="0" w:line="240" w:lineRule="auto"/>
        <w:ind w:right="-114"/>
        <w:jc w:val="both"/>
        <w:textAlignment w:val="baseline"/>
        <w:rPr>
          <w:rFonts w:ascii="Times New Roman" w:eastAsia="Times New Roman" w:hAnsi="Times New Roman" w:cs="Times New Roman"/>
          <w:lang w:eastAsia="en-IE"/>
        </w:rPr>
      </w:pPr>
    </w:p>
    <w:p w14:paraId="4417DA8B" w14:textId="77777777" w:rsidR="00EE0F87" w:rsidRPr="00EE0F87" w:rsidRDefault="00EE0F87" w:rsidP="00EE0F87">
      <w:pPr>
        <w:numPr>
          <w:ilvl w:val="12"/>
          <w:numId w:val="0"/>
        </w:numPr>
        <w:overflowPunct w:val="0"/>
        <w:autoSpaceDE w:val="0"/>
        <w:autoSpaceDN w:val="0"/>
        <w:adjustRightInd w:val="0"/>
        <w:spacing w:after="0" w:line="240" w:lineRule="auto"/>
        <w:ind w:right="-114"/>
        <w:jc w:val="both"/>
        <w:textAlignment w:val="baseline"/>
        <w:rPr>
          <w:rFonts w:ascii="Times New Roman" w:eastAsia="Times New Roman" w:hAnsi="Times New Roman" w:cs="Times New Roman"/>
          <w:b/>
          <w:bCs/>
          <w:u w:val="single"/>
          <w:lang w:eastAsia="en-IE"/>
        </w:rPr>
      </w:pPr>
      <w:r w:rsidRPr="00EE0F87">
        <w:rPr>
          <w:rFonts w:ascii="Times New Roman" w:eastAsia="Times New Roman" w:hAnsi="Times New Roman" w:cs="Times New Roman"/>
          <w:b/>
          <w:bCs/>
          <w:u w:val="single"/>
          <w:lang w:eastAsia="en-IE"/>
        </w:rPr>
        <w:t>Credit risk</w:t>
      </w:r>
    </w:p>
    <w:p w14:paraId="6227EBDF" w14:textId="77777777" w:rsidR="00EE0F87" w:rsidRPr="00EE0F87" w:rsidRDefault="00EE0F87" w:rsidP="00EE0F87">
      <w:pPr>
        <w:numPr>
          <w:ilvl w:val="12"/>
          <w:numId w:val="0"/>
        </w:numPr>
        <w:overflowPunct w:val="0"/>
        <w:autoSpaceDE w:val="0"/>
        <w:autoSpaceDN w:val="0"/>
        <w:adjustRightInd w:val="0"/>
        <w:spacing w:after="0" w:line="240" w:lineRule="auto"/>
        <w:ind w:right="-114"/>
        <w:jc w:val="both"/>
        <w:textAlignment w:val="baseline"/>
        <w:rPr>
          <w:rFonts w:ascii="Times New Roman" w:eastAsia="Times New Roman" w:hAnsi="Times New Roman" w:cs="Times New Roman"/>
          <w:b/>
          <w:bCs/>
          <w:u w:val="single"/>
          <w:lang w:eastAsia="en-IE"/>
        </w:rPr>
      </w:pPr>
    </w:p>
    <w:p w14:paraId="3090C100" w14:textId="77777777" w:rsidR="00EE0F87" w:rsidRPr="00EE0F87" w:rsidRDefault="00EE0F87" w:rsidP="00EE0F87">
      <w:pPr>
        <w:numPr>
          <w:ilvl w:val="12"/>
          <w:numId w:val="0"/>
        </w:numPr>
        <w:overflowPunct w:val="0"/>
        <w:autoSpaceDE w:val="0"/>
        <w:autoSpaceDN w:val="0"/>
        <w:adjustRightInd w:val="0"/>
        <w:spacing w:after="0" w:line="240" w:lineRule="auto"/>
        <w:ind w:right="-114"/>
        <w:jc w:val="both"/>
        <w:textAlignment w:val="baseline"/>
        <w:rPr>
          <w:rFonts w:ascii="Times New Roman" w:eastAsia="Times New Roman" w:hAnsi="Times New Roman" w:cs="Times New Roman"/>
          <w:lang w:eastAsia="en-IE"/>
        </w:rPr>
      </w:pPr>
      <w:r w:rsidRPr="00EE0F87">
        <w:rPr>
          <w:rFonts w:ascii="Times New Roman" w:eastAsia="Times New Roman" w:hAnsi="Times New Roman" w:cs="Times New Roman"/>
          <w:lang w:eastAsia="en-IE"/>
        </w:rPr>
        <w:t xml:space="preserve">The Group’s policy is to minimise exposure to credit risk by performing the appropriate customer due diligence and monitoring the exposure to credit risk. </w:t>
      </w:r>
    </w:p>
    <w:p w14:paraId="3C48E18F" w14:textId="77777777" w:rsidR="00EE0F87" w:rsidRPr="00EE0F87" w:rsidRDefault="00EE0F87" w:rsidP="00EE0F87">
      <w:pPr>
        <w:numPr>
          <w:ilvl w:val="12"/>
          <w:numId w:val="0"/>
        </w:numPr>
        <w:overflowPunct w:val="0"/>
        <w:autoSpaceDE w:val="0"/>
        <w:autoSpaceDN w:val="0"/>
        <w:adjustRightInd w:val="0"/>
        <w:spacing w:after="0" w:line="240" w:lineRule="auto"/>
        <w:ind w:right="-114"/>
        <w:jc w:val="both"/>
        <w:textAlignment w:val="baseline"/>
        <w:rPr>
          <w:rFonts w:ascii="Times New Roman" w:eastAsia="Times New Roman" w:hAnsi="Times New Roman" w:cs="Times New Roman"/>
          <w:b/>
          <w:bCs/>
          <w:u w:val="single"/>
          <w:lang w:eastAsia="en-IE"/>
        </w:rPr>
      </w:pPr>
    </w:p>
    <w:p w14:paraId="53020C81" w14:textId="77777777" w:rsidR="00EE0F87" w:rsidRPr="00EE0F87" w:rsidRDefault="00EE0F87" w:rsidP="00EE0F87">
      <w:pPr>
        <w:numPr>
          <w:ilvl w:val="12"/>
          <w:numId w:val="0"/>
        </w:numPr>
        <w:overflowPunct w:val="0"/>
        <w:autoSpaceDE w:val="0"/>
        <w:autoSpaceDN w:val="0"/>
        <w:adjustRightInd w:val="0"/>
        <w:spacing w:after="0" w:line="240" w:lineRule="auto"/>
        <w:ind w:right="-114"/>
        <w:jc w:val="both"/>
        <w:textAlignment w:val="baseline"/>
        <w:rPr>
          <w:rFonts w:ascii="Times New Roman" w:eastAsia="Times New Roman" w:hAnsi="Times New Roman" w:cs="Times New Roman"/>
          <w:b/>
          <w:bCs/>
          <w:u w:val="single"/>
          <w:lang w:eastAsia="en-IE"/>
        </w:rPr>
      </w:pPr>
      <w:r w:rsidRPr="00EE0F87">
        <w:rPr>
          <w:rFonts w:ascii="Times New Roman" w:eastAsia="Times New Roman" w:hAnsi="Times New Roman" w:cs="Times New Roman"/>
          <w:b/>
          <w:bCs/>
          <w:u w:val="single"/>
          <w:lang w:eastAsia="en-IE"/>
        </w:rPr>
        <w:t>Foreign exchange risk</w:t>
      </w:r>
    </w:p>
    <w:p w14:paraId="10A69DBD" w14:textId="77777777" w:rsidR="00EE0F87" w:rsidRPr="00EE0F87" w:rsidRDefault="00EE0F87" w:rsidP="00EE0F87">
      <w:pPr>
        <w:numPr>
          <w:ilvl w:val="12"/>
          <w:numId w:val="0"/>
        </w:numPr>
        <w:overflowPunct w:val="0"/>
        <w:autoSpaceDE w:val="0"/>
        <w:autoSpaceDN w:val="0"/>
        <w:adjustRightInd w:val="0"/>
        <w:spacing w:after="0" w:line="240" w:lineRule="auto"/>
        <w:ind w:right="-114"/>
        <w:jc w:val="both"/>
        <w:textAlignment w:val="baseline"/>
        <w:rPr>
          <w:rFonts w:ascii="Times New Roman" w:eastAsia="Times New Roman" w:hAnsi="Times New Roman" w:cs="Times New Roman"/>
          <w:lang w:eastAsia="en-IE"/>
        </w:rPr>
      </w:pPr>
    </w:p>
    <w:p w14:paraId="62FE0C36" w14:textId="77777777" w:rsidR="00EE0F87" w:rsidRPr="00EE0F87" w:rsidRDefault="00EE0F87" w:rsidP="00EE0F87">
      <w:pPr>
        <w:numPr>
          <w:ilvl w:val="12"/>
          <w:numId w:val="0"/>
        </w:numPr>
        <w:overflowPunct w:val="0"/>
        <w:autoSpaceDE w:val="0"/>
        <w:autoSpaceDN w:val="0"/>
        <w:adjustRightInd w:val="0"/>
        <w:spacing w:after="0" w:line="240" w:lineRule="auto"/>
        <w:ind w:right="-114"/>
        <w:jc w:val="both"/>
        <w:textAlignment w:val="baseline"/>
        <w:rPr>
          <w:rFonts w:ascii="Times New Roman" w:eastAsia="Times New Roman" w:hAnsi="Times New Roman" w:cs="Times New Roman"/>
          <w:lang w:eastAsia="en-IE"/>
        </w:rPr>
      </w:pPr>
      <w:r w:rsidRPr="00EE0F87">
        <w:rPr>
          <w:rFonts w:ascii="Times New Roman" w:eastAsia="Times New Roman" w:hAnsi="Times New Roman" w:cs="Times New Roman"/>
          <w:lang w:eastAsia="en-IE"/>
        </w:rPr>
        <w:t>The Group’s policy is to manage foreign exchange risk which arises principally in the product sourcing division. The Group does this by mainly purchasing Euros and US dollars at a fixed rate forward for cross currency transactions and using this rate in establishing a selling price for its goods in order to maintain an acceptable margin.</w:t>
      </w:r>
    </w:p>
    <w:p w14:paraId="4727686E" w14:textId="77777777" w:rsidR="00EE0F87" w:rsidRPr="00EE0F87" w:rsidRDefault="00EE0F87" w:rsidP="00EE0F87">
      <w:pPr>
        <w:numPr>
          <w:ilvl w:val="12"/>
          <w:numId w:val="0"/>
        </w:numPr>
        <w:overflowPunct w:val="0"/>
        <w:autoSpaceDE w:val="0"/>
        <w:autoSpaceDN w:val="0"/>
        <w:adjustRightInd w:val="0"/>
        <w:spacing w:after="0" w:line="240" w:lineRule="auto"/>
        <w:ind w:right="-114"/>
        <w:jc w:val="both"/>
        <w:textAlignment w:val="baseline"/>
        <w:rPr>
          <w:rFonts w:ascii="Times New Roman" w:eastAsia="Times New Roman" w:hAnsi="Times New Roman" w:cs="Times New Roman"/>
          <w:lang w:eastAsia="en-IE"/>
        </w:rPr>
      </w:pPr>
    </w:p>
    <w:p w14:paraId="4DDE249E" w14:textId="77777777" w:rsidR="00EE0F87" w:rsidRPr="00EE0F87" w:rsidRDefault="00EE0F87" w:rsidP="00EE0F87">
      <w:pPr>
        <w:numPr>
          <w:ilvl w:val="12"/>
          <w:numId w:val="0"/>
        </w:numPr>
        <w:overflowPunct w:val="0"/>
        <w:autoSpaceDE w:val="0"/>
        <w:autoSpaceDN w:val="0"/>
        <w:adjustRightInd w:val="0"/>
        <w:spacing w:after="0" w:line="240" w:lineRule="auto"/>
        <w:ind w:right="-114"/>
        <w:jc w:val="both"/>
        <w:textAlignment w:val="baseline"/>
        <w:rPr>
          <w:rFonts w:ascii="Times New Roman" w:eastAsia="Times New Roman" w:hAnsi="Times New Roman" w:cs="Times New Roman"/>
          <w:lang w:eastAsia="en-IE"/>
        </w:rPr>
      </w:pPr>
    </w:p>
    <w:p w14:paraId="5E2FA760" w14:textId="77777777" w:rsidR="00EE0F87" w:rsidRPr="00EE0F87" w:rsidRDefault="00EE0F87" w:rsidP="00EE0F87">
      <w:pPr>
        <w:numPr>
          <w:ilvl w:val="12"/>
          <w:numId w:val="0"/>
        </w:numPr>
        <w:overflowPunct w:val="0"/>
        <w:autoSpaceDE w:val="0"/>
        <w:autoSpaceDN w:val="0"/>
        <w:adjustRightInd w:val="0"/>
        <w:spacing w:after="0" w:line="240" w:lineRule="auto"/>
        <w:ind w:right="-114"/>
        <w:jc w:val="both"/>
        <w:textAlignment w:val="baseline"/>
        <w:rPr>
          <w:rFonts w:ascii="Times New Roman" w:eastAsia="Times New Roman" w:hAnsi="Times New Roman" w:cs="Times New Roman"/>
          <w:lang w:eastAsia="en-IE"/>
        </w:rPr>
      </w:pPr>
    </w:p>
    <w:p w14:paraId="6534EFE1" w14:textId="77777777" w:rsidR="00EE0F87" w:rsidRPr="00EE0F87" w:rsidRDefault="00EE0F87" w:rsidP="00EE0F87">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b/>
          <w:lang w:val="en-US" w:eastAsia="en-IE"/>
        </w:rPr>
      </w:pPr>
      <w:r w:rsidRPr="00EE0F87">
        <w:rPr>
          <w:rFonts w:ascii="Times New Roman" w:eastAsia="Times New Roman" w:hAnsi="Times New Roman" w:cs="Times New Roman"/>
          <w:b/>
          <w:lang w:val="en-US" w:eastAsia="en-IE"/>
        </w:rPr>
        <w:t>Gerard Murphy</w:t>
      </w:r>
    </w:p>
    <w:p w14:paraId="3AE37B0E" w14:textId="77777777" w:rsidR="00EE0F87" w:rsidRPr="00EE0F87" w:rsidRDefault="00EE0F87" w:rsidP="00EE0F87">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b/>
          <w:lang w:val="en-US" w:eastAsia="en-IE"/>
        </w:rPr>
      </w:pPr>
      <w:r w:rsidRPr="00EE0F87">
        <w:rPr>
          <w:rFonts w:ascii="Times New Roman" w:eastAsia="Times New Roman" w:hAnsi="Times New Roman" w:cs="Times New Roman"/>
          <w:b/>
          <w:lang w:val="en-US" w:eastAsia="en-IE"/>
        </w:rPr>
        <w:t>Finance Director</w:t>
      </w:r>
      <w:bookmarkEnd w:id="3"/>
      <w:bookmarkEnd w:id="5"/>
    </w:p>
    <w:p w14:paraId="43F4ACA4" w14:textId="77777777" w:rsidR="00EE0F87" w:rsidRPr="00EE0F87" w:rsidRDefault="00EE0F87" w:rsidP="00EE0F87">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b/>
          <w:lang w:val="en-US" w:eastAsia="en-IE"/>
        </w:rPr>
      </w:pPr>
    </w:p>
    <w:p w14:paraId="1C8FE047" w14:textId="77777777" w:rsidR="00EE0F87" w:rsidRPr="00EE0F87" w:rsidRDefault="00EE0F87" w:rsidP="00EE0F87">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b/>
          <w:lang w:val="en-US" w:eastAsia="en-IE"/>
        </w:rPr>
      </w:pPr>
    </w:p>
    <w:p w14:paraId="569BCF52" w14:textId="77777777" w:rsidR="00EE0F87" w:rsidRPr="00EE0F87" w:rsidRDefault="00EE0F87" w:rsidP="00EE0F87">
      <w:pPr>
        <w:pBdr>
          <w:bottom w:val="single" w:sz="4" w:space="1" w:color="auto"/>
        </w:pBdr>
        <w:overflowPunct w:val="0"/>
        <w:autoSpaceDE w:val="0"/>
        <w:autoSpaceDN w:val="0"/>
        <w:adjustRightInd w:val="0"/>
        <w:spacing w:after="0" w:line="240" w:lineRule="auto"/>
        <w:textAlignment w:val="baseline"/>
        <w:rPr>
          <w:rFonts w:ascii="Arial" w:eastAsia="Times New Roman" w:hAnsi="Arial" w:cs="Arial"/>
          <w:b/>
          <w:bCs/>
          <w:caps/>
          <w:color w:val="000000"/>
          <w:sz w:val="30"/>
          <w:szCs w:val="30"/>
          <w:lang w:eastAsia="en-GB"/>
        </w:rPr>
      </w:pPr>
      <w:r w:rsidRPr="00EE0F87">
        <w:rPr>
          <w:rFonts w:ascii="Arial" w:eastAsia="Times New Roman" w:hAnsi="Arial" w:cs="Arial"/>
          <w:b/>
          <w:bCs/>
          <w:caps/>
          <w:color w:val="000000"/>
          <w:sz w:val="30"/>
          <w:szCs w:val="30"/>
          <w:lang w:eastAsia="en-GB"/>
        </w:rPr>
        <w:t>Consolidated STATEMENT OF COMPREHENSIVE INCOME</w:t>
      </w:r>
    </w:p>
    <w:p w14:paraId="326D5A3A" w14:textId="77777777" w:rsidR="00EE0F87" w:rsidRPr="00EE0F87" w:rsidRDefault="00EE0F87" w:rsidP="00EE0F87">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sz w:val="28"/>
          <w:szCs w:val="28"/>
          <w:lang w:eastAsia="en-IE"/>
        </w:rPr>
      </w:pPr>
    </w:p>
    <w:p w14:paraId="282B29F4" w14:textId="77777777" w:rsidR="00EE0F87" w:rsidRPr="00EE0F87" w:rsidRDefault="00EE0F87" w:rsidP="00EE0F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iCs/>
          <w:sz w:val="28"/>
          <w:szCs w:val="28"/>
          <w:lang w:eastAsia="en-IE"/>
        </w:rPr>
      </w:pPr>
      <w:r w:rsidRPr="00EE0F87">
        <w:rPr>
          <w:rFonts w:ascii="Times New Roman" w:eastAsia="Times New Roman" w:hAnsi="Times New Roman" w:cs="Times New Roman"/>
          <w:i/>
          <w:sz w:val="28"/>
          <w:szCs w:val="28"/>
          <w:lang w:eastAsia="en-IE"/>
        </w:rPr>
        <w:t>for the financial year ended 31 December 2022</w:t>
      </w:r>
    </w:p>
    <w:tbl>
      <w:tblPr>
        <w:tblW w:w="9578" w:type="dxa"/>
        <w:tblLayout w:type="fixed"/>
        <w:tblCellMar>
          <w:left w:w="0" w:type="dxa"/>
          <w:right w:w="0" w:type="dxa"/>
        </w:tblCellMar>
        <w:tblLook w:val="0000" w:firstRow="0" w:lastRow="0" w:firstColumn="0" w:lastColumn="0" w:noHBand="0" w:noVBand="0"/>
      </w:tblPr>
      <w:tblGrid>
        <w:gridCol w:w="4977"/>
        <w:gridCol w:w="1188"/>
        <w:gridCol w:w="1188"/>
        <w:gridCol w:w="1110"/>
        <w:gridCol w:w="1115"/>
      </w:tblGrid>
      <w:tr w:rsidR="00EE0F87" w:rsidRPr="00EE0F87" w14:paraId="34EF562B" w14:textId="77777777" w:rsidTr="00897E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1AF5490A"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188" w:type="dxa"/>
            <w:tcBorders>
              <w:top w:val="nil"/>
              <w:left w:val="nil"/>
              <w:bottom w:val="nil"/>
              <w:right w:val="nil"/>
            </w:tcBorders>
          </w:tcPr>
          <w:p w14:paraId="4EFFBE7A"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bCs/>
                <w:lang w:eastAsia="en-IE"/>
              </w:rPr>
            </w:pPr>
          </w:p>
          <w:p w14:paraId="443B30DA"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bCs/>
                <w:lang w:eastAsia="en-IE"/>
              </w:rPr>
            </w:pPr>
          </w:p>
        </w:tc>
        <w:tc>
          <w:tcPr>
            <w:tcW w:w="1188" w:type="dxa"/>
            <w:tcBorders>
              <w:top w:val="nil"/>
              <w:left w:val="nil"/>
              <w:bottom w:val="nil"/>
              <w:right w:val="nil"/>
            </w:tcBorders>
          </w:tcPr>
          <w:p w14:paraId="2DCDEF91"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bCs/>
                <w:lang w:eastAsia="en-IE"/>
              </w:rPr>
            </w:pPr>
          </w:p>
        </w:tc>
        <w:tc>
          <w:tcPr>
            <w:tcW w:w="1110" w:type="dxa"/>
            <w:tcBorders>
              <w:top w:val="nil"/>
              <w:left w:val="nil"/>
              <w:bottom w:val="nil"/>
              <w:right w:val="nil"/>
            </w:tcBorders>
            <w:vAlign w:val="bottom"/>
          </w:tcPr>
          <w:p w14:paraId="506C5562"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bCs/>
                <w:lang w:eastAsia="en-IE"/>
              </w:rPr>
            </w:pPr>
          </w:p>
          <w:p w14:paraId="671463EB"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bCs/>
                <w:lang w:eastAsia="en-IE"/>
              </w:rPr>
            </w:pPr>
            <w:r w:rsidRPr="00EE0F87">
              <w:rPr>
                <w:rFonts w:ascii="Times New Roman" w:eastAsia="Times New Roman" w:hAnsi="Times New Roman" w:cs="Times New Roman"/>
                <w:b/>
                <w:bCs/>
                <w:lang w:eastAsia="en-IE"/>
              </w:rPr>
              <w:t>2022</w:t>
            </w:r>
          </w:p>
        </w:tc>
        <w:tc>
          <w:tcPr>
            <w:tcW w:w="1115" w:type="dxa"/>
            <w:tcBorders>
              <w:top w:val="nil"/>
              <w:left w:val="nil"/>
              <w:bottom w:val="nil"/>
              <w:right w:val="nil"/>
            </w:tcBorders>
            <w:noWrap/>
            <w:tcMar>
              <w:top w:w="15" w:type="dxa"/>
              <w:left w:w="15" w:type="dxa"/>
              <w:bottom w:w="0" w:type="dxa"/>
              <w:right w:w="15" w:type="dxa"/>
            </w:tcMar>
            <w:vAlign w:val="bottom"/>
          </w:tcPr>
          <w:p w14:paraId="144A2DFA"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i/>
                <w:lang w:eastAsia="en-IE"/>
              </w:rPr>
            </w:pPr>
            <w:r w:rsidRPr="00EE0F87">
              <w:rPr>
                <w:rFonts w:ascii="Times New Roman" w:eastAsia="Times New Roman" w:hAnsi="Times New Roman" w:cs="Times New Roman"/>
                <w:i/>
                <w:lang w:eastAsia="en-IE"/>
              </w:rPr>
              <w:t>Restated</w:t>
            </w:r>
          </w:p>
          <w:p w14:paraId="7CD2901B"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lang w:eastAsia="en-IE"/>
              </w:rPr>
              <w:t>2021</w:t>
            </w:r>
          </w:p>
        </w:tc>
      </w:tr>
      <w:tr w:rsidR="00EE0F87" w:rsidRPr="00EE0F87" w14:paraId="4B982B79" w14:textId="77777777" w:rsidTr="00897E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5CC97AEC"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188" w:type="dxa"/>
            <w:tcBorders>
              <w:top w:val="nil"/>
              <w:left w:val="nil"/>
              <w:bottom w:val="nil"/>
              <w:right w:val="nil"/>
            </w:tcBorders>
          </w:tcPr>
          <w:p w14:paraId="387D9EA1"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bCs/>
                <w:lang w:eastAsia="en-IE"/>
              </w:rPr>
            </w:pPr>
          </w:p>
        </w:tc>
        <w:tc>
          <w:tcPr>
            <w:tcW w:w="1188" w:type="dxa"/>
            <w:tcBorders>
              <w:top w:val="nil"/>
              <w:left w:val="nil"/>
              <w:bottom w:val="nil"/>
              <w:right w:val="nil"/>
            </w:tcBorders>
          </w:tcPr>
          <w:p w14:paraId="463B59BC"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bCs/>
                <w:lang w:eastAsia="en-IE"/>
              </w:rPr>
            </w:pPr>
          </w:p>
        </w:tc>
        <w:tc>
          <w:tcPr>
            <w:tcW w:w="1110" w:type="dxa"/>
            <w:tcBorders>
              <w:top w:val="nil"/>
              <w:left w:val="nil"/>
              <w:bottom w:val="nil"/>
              <w:right w:val="nil"/>
            </w:tcBorders>
          </w:tcPr>
          <w:p w14:paraId="6DEE5391"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bCs/>
                <w:lang w:eastAsia="en-IE"/>
              </w:rPr>
            </w:pPr>
            <w:r w:rsidRPr="00EE0F87">
              <w:rPr>
                <w:rFonts w:ascii="Times New Roman" w:eastAsia="Times New Roman" w:hAnsi="Times New Roman" w:cs="Times New Roman"/>
                <w:b/>
                <w:bCs/>
                <w:lang w:eastAsia="en-IE"/>
              </w:rPr>
              <w:t>£’000</w:t>
            </w:r>
          </w:p>
        </w:tc>
        <w:tc>
          <w:tcPr>
            <w:tcW w:w="1115" w:type="dxa"/>
            <w:tcBorders>
              <w:top w:val="nil"/>
              <w:left w:val="nil"/>
              <w:bottom w:val="nil"/>
              <w:right w:val="nil"/>
            </w:tcBorders>
            <w:noWrap/>
            <w:tcMar>
              <w:top w:w="15" w:type="dxa"/>
              <w:left w:w="15" w:type="dxa"/>
              <w:bottom w:w="0" w:type="dxa"/>
              <w:right w:w="15" w:type="dxa"/>
            </w:tcMar>
            <w:vAlign w:val="bottom"/>
          </w:tcPr>
          <w:p w14:paraId="6B08CC72"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en-IE"/>
              </w:rPr>
            </w:pPr>
            <w:r w:rsidRPr="00EE0F87">
              <w:rPr>
                <w:rFonts w:ascii="Times New Roman" w:eastAsia="Times New Roman" w:hAnsi="Times New Roman" w:cs="Times New Roman"/>
                <w:lang w:eastAsia="en-IE"/>
              </w:rPr>
              <w:t xml:space="preserve">£’000 </w:t>
            </w:r>
          </w:p>
        </w:tc>
      </w:tr>
      <w:tr w:rsidR="00EE0F87" w:rsidRPr="00EE0F87" w14:paraId="40D6F6EB" w14:textId="77777777" w:rsidTr="00897E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27C896C0"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lang w:eastAsia="en-IE"/>
              </w:rPr>
            </w:pPr>
          </w:p>
        </w:tc>
        <w:tc>
          <w:tcPr>
            <w:tcW w:w="1188" w:type="dxa"/>
            <w:tcBorders>
              <w:top w:val="nil"/>
              <w:left w:val="nil"/>
              <w:bottom w:val="nil"/>
              <w:right w:val="nil"/>
            </w:tcBorders>
          </w:tcPr>
          <w:p w14:paraId="554C1CC4"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188" w:type="dxa"/>
            <w:tcBorders>
              <w:top w:val="nil"/>
              <w:left w:val="nil"/>
              <w:bottom w:val="nil"/>
              <w:right w:val="nil"/>
            </w:tcBorders>
          </w:tcPr>
          <w:p w14:paraId="63F85CF3"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110" w:type="dxa"/>
            <w:tcBorders>
              <w:top w:val="nil"/>
              <w:left w:val="nil"/>
              <w:bottom w:val="nil"/>
              <w:right w:val="nil"/>
            </w:tcBorders>
            <w:vAlign w:val="bottom"/>
          </w:tcPr>
          <w:p w14:paraId="4A12B6A3"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4AF55552"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r>
      <w:tr w:rsidR="00EE0F87" w:rsidRPr="00EE0F87" w14:paraId="6C64EFB3" w14:textId="77777777" w:rsidTr="00897E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11CB5DD4"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lang w:eastAsia="en-IE"/>
              </w:rPr>
            </w:pPr>
            <w:r w:rsidRPr="00EE0F87">
              <w:rPr>
                <w:rFonts w:ascii="Times New Roman" w:eastAsia="Times New Roman" w:hAnsi="Times New Roman" w:cs="Times New Roman"/>
                <w:b/>
                <w:bCs/>
                <w:lang w:eastAsia="en-IE"/>
              </w:rPr>
              <w:t>Continuing operations</w:t>
            </w:r>
          </w:p>
        </w:tc>
        <w:tc>
          <w:tcPr>
            <w:tcW w:w="1188" w:type="dxa"/>
            <w:tcBorders>
              <w:top w:val="nil"/>
              <w:left w:val="nil"/>
              <w:right w:val="nil"/>
            </w:tcBorders>
          </w:tcPr>
          <w:p w14:paraId="41DB5A4B"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188" w:type="dxa"/>
            <w:tcBorders>
              <w:top w:val="nil"/>
              <w:left w:val="nil"/>
              <w:right w:val="nil"/>
            </w:tcBorders>
          </w:tcPr>
          <w:p w14:paraId="1723C5A4"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110" w:type="dxa"/>
            <w:tcBorders>
              <w:top w:val="nil"/>
              <w:left w:val="nil"/>
              <w:bottom w:val="nil"/>
              <w:right w:val="nil"/>
            </w:tcBorders>
            <w:vAlign w:val="bottom"/>
          </w:tcPr>
          <w:p w14:paraId="5261E89D"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1125A62E"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r>
      <w:tr w:rsidR="00EE0F87" w:rsidRPr="00EE0F87" w14:paraId="2CDCFE1F" w14:textId="77777777" w:rsidTr="00897E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774CA0AF"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lang w:eastAsia="en-IE"/>
              </w:rPr>
              <w:t>Revenue</w:t>
            </w:r>
          </w:p>
        </w:tc>
        <w:tc>
          <w:tcPr>
            <w:tcW w:w="1188" w:type="dxa"/>
            <w:tcBorders>
              <w:top w:val="nil"/>
              <w:left w:val="nil"/>
              <w:bottom w:val="nil"/>
              <w:right w:val="nil"/>
            </w:tcBorders>
          </w:tcPr>
          <w:p w14:paraId="51BD40C0"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Borders>
              <w:top w:val="nil"/>
              <w:left w:val="nil"/>
              <w:bottom w:val="nil"/>
              <w:right w:val="nil"/>
            </w:tcBorders>
          </w:tcPr>
          <w:p w14:paraId="6469E43C"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10" w:type="dxa"/>
            <w:tcBorders>
              <w:top w:val="nil"/>
              <w:left w:val="nil"/>
              <w:bottom w:val="nil"/>
              <w:right w:val="nil"/>
            </w:tcBorders>
            <w:vAlign w:val="bottom"/>
          </w:tcPr>
          <w:p w14:paraId="4D65AD82"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lang w:eastAsia="en-IE"/>
              </w:rPr>
              <w:t>31,351</w:t>
            </w:r>
          </w:p>
        </w:tc>
        <w:tc>
          <w:tcPr>
            <w:tcW w:w="1115" w:type="dxa"/>
            <w:tcBorders>
              <w:top w:val="nil"/>
              <w:left w:val="nil"/>
              <w:bottom w:val="nil"/>
              <w:right w:val="nil"/>
            </w:tcBorders>
            <w:noWrap/>
            <w:tcMar>
              <w:top w:w="15" w:type="dxa"/>
              <w:left w:w="15" w:type="dxa"/>
              <w:bottom w:w="0" w:type="dxa"/>
              <w:right w:w="15" w:type="dxa"/>
            </w:tcMar>
            <w:vAlign w:val="bottom"/>
          </w:tcPr>
          <w:p w14:paraId="50BE3AA7"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lang w:eastAsia="en-IE"/>
              </w:rPr>
              <w:t>24,313</w:t>
            </w:r>
          </w:p>
        </w:tc>
      </w:tr>
      <w:tr w:rsidR="00EE0F87" w:rsidRPr="00EE0F87" w14:paraId="1BD118ED" w14:textId="77777777" w:rsidTr="00897E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350DC2DB"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lang w:eastAsia="en-IE"/>
              </w:rPr>
              <w:t>Cost of sales</w:t>
            </w:r>
          </w:p>
        </w:tc>
        <w:tc>
          <w:tcPr>
            <w:tcW w:w="1188" w:type="dxa"/>
            <w:tcBorders>
              <w:top w:val="nil"/>
              <w:left w:val="nil"/>
              <w:bottom w:val="nil"/>
              <w:right w:val="nil"/>
            </w:tcBorders>
          </w:tcPr>
          <w:p w14:paraId="6BF90BFF"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Borders>
              <w:top w:val="nil"/>
              <w:left w:val="nil"/>
              <w:bottom w:val="nil"/>
              <w:right w:val="nil"/>
            </w:tcBorders>
          </w:tcPr>
          <w:p w14:paraId="4C4E1791"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10" w:type="dxa"/>
            <w:tcBorders>
              <w:top w:val="nil"/>
              <w:left w:val="nil"/>
              <w:bottom w:val="nil"/>
              <w:right w:val="nil"/>
            </w:tcBorders>
            <w:vAlign w:val="bottom"/>
          </w:tcPr>
          <w:p w14:paraId="6AEAFF19"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lang w:eastAsia="en-IE"/>
              </w:rPr>
              <w:t>(30,780)</w:t>
            </w:r>
          </w:p>
        </w:tc>
        <w:tc>
          <w:tcPr>
            <w:tcW w:w="1115" w:type="dxa"/>
            <w:tcBorders>
              <w:top w:val="nil"/>
              <w:left w:val="nil"/>
              <w:bottom w:val="nil"/>
              <w:right w:val="nil"/>
            </w:tcBorders>
            <w:noWrap/>
            <w:tcMar>
              <w:top w:w="15" w:type="dxa"/>
              <w:left w:w="15" w:type="dxa"/>
              <w:bottom w:w="0" w:type="dxa"/>
              <w:right w:w="15" w:type="dxa"/>
            </w:tcMar>
            <w:vAlign w:val="bottom"/>
          </w:tcPr>
          <w:p w14:paraId="544951B9"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lang w:eastAsia="en-IE"/>
              </w:rPr>
              <w:t>(24,114)</w:t>
            </w:r>
          </w:p>
        </w:tc>
      </w:tr>
      <w:tr w:rsidR="00EE0F87" w:rsidRPr="00EE0F87" w14:paraId="686AFCB2" w14:textId="77777777" w:rsidTr="00897E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3FB5F318"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188" w:type="dxa"/>
            <w:tcBorders>
              <w:top w:val="nil"/>
              <w:left w:val="nil"/>
              <w:bottom w:val="nil"/>
              <w:right w:val="nil"/>
            </w:tcBorders>
          </w:tcPr>
          <w:p w14:paraId="423BC5FF"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188" w:type="dxa"/>
            <w:tcBorders>
              <w:top w:val="nil"/>
              <w:left w:val="nil"/>
              <w:bottom w:val="nil"/>
              <w:right w:val="nil"/>
            </w:tcBorders>
          </w:tcPr>
          <w:p w14:paraId="0A279F28"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110" w:type="dxa"/>
            <w:tcBorders>
              <w:top w:val="nil"/>
              <w:left w:val="nil"/>
              <w:bottom w:val="nil"/>
              <w:right w:val="nil"/>
            </w:tcBorders>
            <w:vAlign w:val="bottom"/>
          </w:tcPr>
          <w:p w14:paraId="2D117B01"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12A8950E"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r>
      <w:tr w:rsidR="00EE0F87" w:rsidRPr="00EE0F87" w14:paraId="0CC52AB7" w14:textId="77777777" w:rsidTr="00897E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6B6D24DC"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lang w:eastAsia="en-IE"/>
              </w:rPr>
            </w:pPr>
            <w:r w:rsidRPr="00EE0F87">
              <w:rPr>
                <w:rFonts w:ascii="Times New Roman" w:eastAsia="Times New Roman" w:hAnsi="Times New Roman" w:cs="Times New Roman"/>
                <w:b/>
                <w:bCs/>
                <w:lang w:eastAsia="en-IE"/>
              </w:rPr>
              <w:t>Gross profit</w:t>
            </w:r>
          </w:p>
        </w:tc>
        <w:tc>
          <w:tcPr>
            <w:tcW w:w="1188" w:type="dxa"/>
            <w:tcBorders>
              <w:left w:val="nil"/>
              <w:right w:val="nil"/>
            </w:tcBorders>
          </w:tcPr>
          <w:p w14:paraId="552BF0D9"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Borders>
              <w:left w:val="nil"/>
              <w:right w:val="nil"/>
            </w:tcBorders>
          </w:tcPr>
          <w:p w14:paraId="11C3A873"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10" w:type="dxa"/>
            <w:tcBorders>
              <w:top w:val="single" w:sz="4" w:space="0" w:color="auto"/>
              <w:left w:val="nil"/>
              <w:bottom w:val="single" w:sz="4" w:space="0" w:color="auto"/>
              <w:right w:val="nil"/>
            </w:tcBorders>
            <w:vAlign w:val="bottom"/>
          </w:tcPr>
          <w:p w14:paraId="1A2201AC"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en-IE"/>
              </w:rPr>
            </w:pPr>
            <w:r w:rsidRPr="00EE0F87">
              <w:rPr>
                <w:rFonts w:ascii="Times New Roman" w:eastAsia="Times New Roman" w:hAnsi="Times New Roman" w:cs="Times New Roman"/>
                <w:b/>
                <w:lang w:eastAsia="en-IE"/>
              </w:rPr>
              <w:t>571</w:t>
            </w:r>
          </w:p>
        </w:tc>
        <w:tc>
          <w:tcPr>
            <w:tcW w:w="1115"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25A6D850"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en-IE"/>
              </w:rPr>
            </w:pPr>
            <w:r w:rsidRPr="00EE0F87">
              <w:rPr>
                <w:rFonts w:ascii="Times New Roman" w:eastAsia="Times New Roman" w:hAnsi="Times New Roman" w:cs="Times New Roman"/>
                <w:lang w:eastAsia="en-IE"/>
              </w:rPr>
              <w:t>199</w:t>
            </w:r>
          </w:p>
        </w:tc>
      </w:tr>
      <w:tr w:rsidR="00EE0F87" w:rsidRPr="00EE0F87" w14:paraId="5380DEA2" w14:textId="77777777" w:rsidTr="00897E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0304640F"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188" w:type="dxa"/>
            <w:tcBorders>
              <w:top w:val="nil"/>
              <w:left w:val="nil"/>
              <w:bottom w:val="nil"/>
              <w:right w:val="nil"/>
            </w:tcBorders>
          </w:tcPr>
          <w:p w14:paraId="5A7F420E"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188" w:type="dxa"/>
            <w:tcBorders>
              <w:top w:val="nil"/>
              <w:left w:val="nil"/>
              <w:bottom w:val="nil"/>
              <w:right w:val="nil"/>
            </w:tcBorders>
          </w:tcPr>
          <w:p w14:paraId="5F15EC2D"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110" w:type="dxa"/>
            <w:tcBorders>
              <w:top w:val="nil"/>
              <w:left w:val="nil"/>
              <w:bottom w:val="nil"/>
              <w:right w:val="nil"/>
            </w:tcBorders>
            <w:vAlign w:val="bottom"/>
          </w:tcPr>
          <w:p w14:paraId="67126A10"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487BE159"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r>
      <w:tr w:rsidR="00EE0F87" w:rsidRPr="00EE0F87" w14:paraId="16405395" w14:textId="77777777" w:rsidTr="00897E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11E9DBC0"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r w:rsidRPr="00EE0F87">
              <w:rPr>
                <w:rFonts w:ascii="Times New Roman" w:eastAsia="Times New Roman" w:hAnsi="Times New Roman" w:cs="Times New Roman"/>
                <w:lang w:eastAsia="en-IE"/>
              </w:rPr>
              <w:t xml:space="preserve">Fair value gain on biological assets </w:t>
            </w:r>
          </w:p>
        </w:tc>
        <w:tc>
          <w:tcPr>
            <w:tcW w:w="1188" w:type="dxa"/>
            <w:tcBorders>
              <w:top w:val="nil"/>
              <w:left w:val="nil"/>
              <w:bottom w:val="nil"/>
              <w:right w:val="nil"/>
            </w:tcBorders>
          </w:tcPr>
          <w:p w14:paraId="53A001A2"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Borders>
              <w:top w:val="nil"/>
              <w:left w:val="nil"/>
              <w:bottom w:val="nil"/>
              <w:right w:val="nil"/>
            </w:tcBorders>
          </w:tcPr>
          <w:p w14:paraId="3C6B7620"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10" w:type="dxa"/>
            <w:tcBorders>
              <w:top w:val="nil"/>
              <w:left w:val="nil"/>
              <w:bottom w:val="nil"/>
              <w:right w:val="nil"/>
            </w:tcBorders>
            <w:vAlign w:val="bottom"/>
          </w:tcPr>
          <w:p w14:paraId="019F6E0A"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en-IE"/>
              </w:rPr>
            </w:pPr>
            <w:r w:rsidRPr="00EE0F87">
              <w:rPr>
                <w:rFonts w:ascii="Times New Roman" w:eastAsia="Times New Roman" w:hAnsi="Times New Roman" w:cs="Times New Roman"/>
                <w:b/>
                <w:lang w:eastAsia="en-IE"/>
              </w:rPr>
              <w:t>182</w:t>
            </w:r>
          </w:p>
        </w:tc>
        <w:tc>
          <w:tcPr>
            <w:tcW w:w="1115" w:type="dxa"/>
            <w:tcBorders>
              <w:top w:val="nil"/>
              <w:left w:val="nil"/>
              <w:bottom w:val="nil"/>
              <w:right w:val="nil"/>
            </w:tcBorders>
            <w:noWrap/>
            <w:tcMar>
              <w:top w:w="15" w:type="dxa"/>
              <w:left w:w="15" w:type="dxa"/>
              <w:bottom w:w="0" w:type="dxa"/>
              <w:right w:w="15" w:type="dxa"/>
            </w:tcMar>
            <w:vAlign w:val="bottom"/>
          </w:tcPr>
          <w:p w14:paraId="5C4D22E3"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en-IE"/>
              </w:rPr>
            </w:pPr>
            <w:r w:rsidRPr="00EE0F87">
              <w:rPr>
                <w:rFonts w:ascii="Times New Roman" w:eastAsia="Times New Roman" w:hAnsi="Times New Roman" w:cs="Times New Roman"/>
                <w:lang w:eastAsia="en-IE"/>
              </w:rPr>
              <w:t>161</w:t>
            </w:r>
          </w:p>
        </w:tc>
      </w:tr>
      <w:tr w:rsidR="00EE0F87" w:rsidRPr="00EE0F87" w14:paraId="34FD1CC6" w14:textId="77777777" w:rsidTr="00897E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3CD33666"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lang w:eastAsia="en-IE"/>
              </w:rPr>
              <w:t>Administrative expenses</w:t>
            </w:r>
          </w:p>
        </w:tc>
        <w:tc>
          <w:tcPr>
            <w:tcW w:w="1188" w:type="dxa"/>
            <w:tcBorders>
              <w:top w:val="nil"/>
              <w:left w:val="nil"/>
              <w:bottom w:val="nil"/>
              <w:right w:val="nil"/>
            </w:tcBorders>
          </w:tcPr>
          <w:p w14:paraId="0DDAB489"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Borders>
              <w:top w:val="nil"/>
              <w:left w:val="nil"/>
              <w:bottom w:val="nil"/>
              <w:right w:val="nil"/>
            </w:tcBorders>
          </w:tcPr>
          <w:p w14:paraId="1A4C9834"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10" w:type="dxa"/>
            <w:tcBorders>
              <w:top w:val="nil"/>
              <w:left w:val="nil"/>
              <w:bottom w:val="nil"/>
              <w:right w:val="nil"/>
            </w:tcBorders>
            <w:vAlign w:val="bottom"/>
          </w:tcPr>
          <w:p w14:paraId="0777D1B8"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lang w:eastAsia="en-IE"/>
              </w:rPr>
              <w:t>(417)</w:t>
            </w:r>
          </w:p>
        </w:tc>
        <w:tc>
          <w:tcPr>
            <w:tcW w:w="1115" w:type="dxa"/>
            <w:tcBorders>
              <w:top w:val="nil"/>
              <w:left w:val="nil"/>
              <w:bottom w:val="nil"/>
              <w:right w:val="nil"/>
            </w:tcBorders>
            <w:noWrap/>
            <w:tcMar>
              <w:top w:w="15" w:type="dxa"/>
              <w:left w:w="15" w:type="dxa"/>
              <w:bottom w:w="0" w:type="dxa"/>
              <w:right w:w="15" w:type="dxa"/>
            </w:tcMar>
            <w:vAlign w:val="bottom"/>
          </w:tcPr>
          <w:p w14:paraId="1AB5369E"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lang w:eastAsia="en-IE"/>
              </w:rPr>
              <w:t>(502)</w:t>
            </w:r>
          </w:p>
        </w:tc>
      </w:tr>
      <w:tr w:rsidR="00EE0F87" w:rsidRPr="00EE0F87" w14:paraId="275569C0" w14:textId="77777777" w:rsidTr="00897E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6D459572"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r w:rsidRPr="00EE0F87">
              <w:rPr>
                <w:rFonts w:ascii="Times New Roman" w:eastAsia="Times New Roman" w:hAnsi="Times New Roman" w:cs="Times New Roman"/>
                <w:lang w:eastAsia="en-IE"/>
              </w:rPr>
              <w:t>Property, plant and equipment impairment</w:t>
            </w:r>
          </w:p>
        </w:tc>
        <w:tc>
          <w:tcPr>
            <w:tcW w:w="1188" w:type="dxa"/>
            <w:tcBorders>
              <w:top w:val="nil"/>
              <w:left w:val="nil"/>
              <w:bottom w:val="nil"/>
              <w:right w:val="nil"/>
            </w:tcBorders>
          </w:tcPr>
          <w:p w14:paraId="21831520"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Borders>
              <w:top w:val="nil"/>
              <w:left w:val="nil"/>
              <w:bottom w:val="nil"/>
              <w:right w:val="nil"/>
            </w:tcBorders>
          </w:tcPr>
          <w:p w14:paraId="3CCE36E1"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10" w:type="dxa"/>
            <w:tcBorders>
              <w:top w:val="nil"/>
              <w:left w:val="nil"/>
              <w:bottom w:val="nil"/>
              <w:right w:val="nil"/>
            </w:tcBorders>
            <w:vAlign w:val="bottom"/>
          </w:tcPr>
          <w:p w14:paraId="4E1C2FCD"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en-IE"/>
              </w:rPr>
            </w:pPr>
            <w:r w:rsidRPr="00EE0F87">
              <w:rPr>
                <w:rFonts w:ascii="Times New Roman" w:eastAsia="Times New Roman" w:hAnsi="Times New Roman" w:cs="Times New Roman"/>
                <w:b/>
                <w:lang w:eastAsia="en-IE"/>
              </w:rPr>
              <w:t>-</w:t>
            </w:r>
          </w:p>
        </w:tc>
        <w:tc>
          <w:tcPr>
            <w:tcW w:w="1115" w:type="dxa"/>
            <w:tcBorders>
              <w:top w:val="nil"/>
              <w:left w:val="nil"/>
              <w:bottom w:val="nil"/>
              <w:right w:val="nil"/>
            </w:tcBorders>
            <w:noWrap/>
            <w:tcMar>
              <w:top w:w="15" w:type="dxa"/>
              <w:left w:w="15" w:type="dxa"/>
              <w:bottom w:w="0" w:type="dxa"/>
              <w:right w:w="15" w:type="dxa"/>
            </w:tcMar>
            <w:vAlign w:val="bottom"/>
          </w:tcPr>
          <w:p w14:paraId="2A62B20D"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en-IE"/>
              </w:rPr>
            </w:pPr>
            <w:r w:rsidRPr="00EE0F87">
              <w:rPr>
                <w:rFonts w:ascii="Times New Roman" w:eastAsia="Times New Roman" w:hAnsi="Times New Roman" w:cs="Times New Roman"/>
                <w:lang w:eastAsia="en-IE"/>
              </w:rPr>
              <w:t>(862)</w:t>
            </w:r>
          </w:p>
        </w:tc>
      </w:tr>
      <w:tr w:rsidR="00EE0F87" w:rsidRPr="00EE0F87" w14:paraId="03BAABCA" w14:textId="77777777" w:rsidTr="00897E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12C6BA1A"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Borders>
              <w:top w:val="nil"/>
              <w:left w:val="nil"/>
              <w:bottom w:val="nil"/>
              <w:right w:val="nil"/>
            </w:tcBorders>
          </w:tcPr>
          <w:p w14:paraId="6CDE38A1"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Borders>
              <w:top w:val="nil"/>
              <w:left w:val="nil"/>
              <w:bottom w:val="nil"/>
              <w:right w:val="nil"/>
            </w:tcBorders>
          </w:tcPr>
          <w:p w14:paraId="242F79BE"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10" w:type="dxa"/>
            <w:tcBorders>
              <w:top w:val="nil"/>
              <w:left w:val="nil"/>
              <w:bottom w:val="nil"/>
              <w:right w:val="nil"/>
            </w:tcBorders>
            <w:vAlign w:val="bottom"/>
          </w:tcPr>
          <w:p w14:paraId="4C5E2E3D"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5420A72F"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en-IE"/>
              </w:rPr>
            </w:pPr>
          </w:p>
        </w:tc>
      </w:tr>
      <w:tr w:rsidR="00EE0F87" w:rsidRPr="00EE0F87" w14:paraId="34B26F8E" w14:textId="77777777" w:rsidTr="00897E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2B5D2592"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lang w:eastAsia="en-IE"/>
              </w:rPr>
            </w:pPr>
            <w:r w:rsidRPr="00EE0F87">
              <w:rPr>
                <w:rFonts w:ascii="Times New Roman" w:eastAsia="Times New Roman" w:hAnsi="Times New Roman" w:cs="Times New Roman"/>
                <w:b/>
                <w:bCs/>
                <w:lang w:eastAsia="en-IE"/>
              </w:rPr>
              <w:t xml:space="preserve">Operating profit/(loss)from continuing operations </w:t>
            </w:r>
          </w:p>
        </w:tc>
        <w:tc>
          <w:tcPr>
            <w:tcW w:w="1188" w:type="dxa"/>
            <w:tcBorders>
              <w:left w:val="nil"/>
              <w:right w:val="nil"/>
            </w:tcBorders>
          </w:tcPr>
          <w:p w14:paraId="2F772CEE"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Borders>
              <w:left w:val="nil"/>
              <w:right w:val="nil"/>
            </w:tcBorders>
          </w:tcPr>
          <w:p w14:paraId="0A03669A"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10" w:type="dxa"/>
            <w:tcBorders>
              <w:top w:val="single" w:sz="4" w:space="0" w:color="auto"/>
              <w:left w:val="nil"/>
              <w:bottom w:val="single" w:sz="4" w:space="0" w:color="auto"/>
              <w:right w:val="nil"/>
            </w:tcBorders>
            <w:vAlign w:val="bottom"/>
          </w:tcPr>
          <w:p w14:paraId="3F83E801"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sz w:val="20"/>
                <w:szCs w:val="20"/>
                <w:lang w:eastAsia="en-IE"/>
              </w:rPr>
              <w:t>336</w:t>
            </w:r>
          </w:p>
        </w:tc>
        <w:tc>
          <w:tcPr>
            <w:tcW w:w="1115"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426841D5"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lang w:eastAsia="en-IE"/>
              </w:rPr>
              <w:t>(1,004)</w:t>
            </w:r>
          </w:p>
        </w:tc>
      </w:tr>
      <w:tr w:rsidR="00EE0F87" w:rsidRPr="00EE0F87" w14:paraId="591E8EFD" w14:textId="77777777" w:rsidTr="00897E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3C6E78FF"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lang w:eastAsia="en-IE"/>
              </w:rPr>
            </w:pPr>
          </w:p>
        </w:tc>
        <w:tc>
          <w:tcPr>
            <w:tcW w:w="1188" w:type="dxa"/>
            <w:tcBorders>
              <w:top w:val="nil"/>
              <w:left w:val="nil"/>
              <w:bottom w:val="nil"/>
              <w:right w:val="nil"/>
            </w:tcBorders>
          </w:tcPr>
          <w:p w14:paraId="7524A361"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188" w:type="dxa"/>
            <w:tcBorders>
              <w:top w:val="nil"/>
              <w:left w:val="nil"/>
              <w:bottom w:val="nil"/>
              <w:right w:val="nil"/>
            </w:tcBorders>
          </w:tcPr>
          <w:p w14:paraId="199CAACA"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110" w:type="dxa"/>
            <w:tcBorders>
              <w:top w:val="nil"/>
              <w:left w:val="nil"/>
              <w:bottom w:val="nil"/>
              <w:right w:val="nil"/>
            </w:tcBorders>
            <w:vAlign w:val="bottom"/>
          </w:tcPr>
          <w:p w14:paraId="2A50C640"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77D247EF"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r>
      <w:tr w:rsidR="00EE0F87" w:rsidRPr="00EE0F87" w14:paraId="043DD926" w14:textId="77777777" w:rsidTr="00897E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046060CC"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r w:rsidRPr="00EE0F87">
              <w:rPr>
                <w:rFonts w:ascii="Times New Roman" w:eastAsia="Times New Roman" w:hAnsi="Times New Roman" w:cs="Times New Roman"/>
                <w:lang w:eastAsia="en-IE"/>
              </w:rPr>
              <w:t>Interest received</w:t>
            </w:r>
          </w:p>
        </w:tc>
        <w:tc>
          <w:tcPr>
            <w:tcW w:w="1188" w:type="dxa"/>
            <w:tcBorders>
              <w:top w:val="nil"/>
              <w:left w:val="nil"/>
              <w:bottom w:val="nil"/>
              <w:right w:val="nil"/>
            </w:tcBorders>
          </w:tcPr>
          <w:p w14:paraId="006E2045"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Borders>
              <w:top w:val="nil"/>
              <w:left w:val="nil"/>
              <w:bottom w:val="nil"/>
              <w:right w:val="nil"/>
            </w:tcBorders>
          </w:tcPr>
          <w:p w14:paraId="1BD8A659"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10" w:type="dxa"/>
            <w:tcBorders>
              <w:top w:val="nil"/>
              <w:left w:val="nil"/>
              <w:bottom w:val="nil"/>
              <w:right w:val="nil"/>
            </w:tcBorders>
            <w:vAlign w:val="bottom"/>
          </w:tcPr>
          <w:p w14:paraId="61726F69"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en-IE"/>
              </w:rPr>
            </w:pPr>
            <w:r w:rsidRPr="00EE0F87">
              <w:rPr>
                <w:rFonts w:ascii="Times New Roman" w:eastAsia="Times New Roman" w:hAnsi="Times New Roman" w:cs="Times New Roman"/>
                <w:b/>
                <w:lang w:eastAsia="en-IE"/>
              </w:rPr>
              <w:t>9</w:t>
            </w:r>
          </w:p>
        </w:tc>
        <w:tc>
          <w:tcPr>
            <w:tcW w:w="1115" w:type="dxa"/>
            <w:tcBorders>
              <w:top w:val="nil"/>
              <w:left w:val="nil"/>
              <w:bottom w:val="nil"/>
              <w:right w:val="nil"/>
            </w:tcBorders>
            <w:noWrap/>
            <w:tcMar>
              <w:top w:w="15" w:type="dxa"/>
              <w:left w:w="15" w:type="dxa"/>
              <w:bottom w:w="0" w:type="dxa"/>
              <w:right w:w="15" w:type="dxa"/>
            </w:tcMar>
            <w:vAlign w:val="bottom"/>
          </w:tcPr>
          <w:p w14:paraId="7E28F4A2"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en-IE"/>
              </w:rPr>
            </w:pPr>
            <w:r w:rsidRPr="00EE0F87">
              <w:rPr>
                <w:rFonts w:ascii="Times New Roman" w:eastAsia="Times New Roman" w:hAnsi="Times New Roman" w:cs="Times New Roman"/>
                <w:lang w:eastAsia="en-IE"/>
              </w:rPr>
              <w:t>-</w:t>
            </w:r>
          </w:p>
        </w:tc>
      </w:tr>
      <w:tr w:rsidR="00EE0F87" w:rsidRPr="00EE0F87" w14:paraId="42C0F7B3" w14:textId="77777777" w:rsidTr="00897E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53C048AA"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r w:rsidRPr="00EE0F87">
              <w:rPr>
                <w:rFonts w:ascii="Times New Roman" w:eastAsia="Times New Roman" w:hAnsi="Times New Roman" w:cs="Times New Roman"/>
                <w:lang w:eastAsia="en-IE"/>
              </w:rPr>
              <w:t>Finance expenses – lease interest</w:t>
            </w:r>
          </w:p>
        </w:tc>
        <w:tc>
          <w:tcPr>
            <w:tcW w:w="1188" w:type="dxa"/>
            <w:tcBorders>
              <w:top w:val="nil"/>
              <w:left w:val="nil"/>
              <w:bottom w:val="nil"/>
              <w:right w:val="nil"/>
            </w:tcBorders>
          </w:tcPr>
          <w:p w14:paraId="12B09500"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Borders>
              <w:top w:val="nil"/>
              <w:left w:val="nil"/>
              <w:bottom w:val="nil"/>
              <w:right w:val="nil"/>
            </w:tcBorders>
          </w:tcPr>
          <w:p w14:paraId="1B50E26A"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10" w:type="dxa"/>
            <w:tcBorders>
              <w:top w:val="nil"/>
              <w:left w:val="nil"/>
              <w:bottom w:val="nil"/>
              <w:right w:val="nil"/>
            </w:tcBorders>
            <w:vAlign w:val="bottom"/>
          </w:tcPr>
          <w:p w14:paraId="090AC5F1"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en-IE"/>
              </w:rPr>
            </w:pPr>
            <w:r w:rsidRPr="00EE0F87">
              <w:rPr>
                <w:rFonts w:ascii="Times New Roman" w:eastAsia="Times New Roman" w:hAnsi="Times New Roman" w:cs="Times New Roman"/>
                <w:b/>
                <w:lang w:eastAsia="en-IE"/>
              </w:rPr>
              <w:t>(28)</w:t>
            </w:r>
          </w:p>
        </w:tc>
        <w:tc>
          <w:tcPr>
            <w:tcW w:w="1115" w:type="dxa"/>
            <w:tcBorders>
              <w:top w:val="nil"/>
              <w:left w:val="nil"/>
              <w:bottom w:val="nil"/>
              <w:right w:val="nil"/>
            </w:tcBorders>
            <w:noWrap/>
            <w:tcMar>
              <w:top w:w="15" w:type="dxa"/>
              <w:left w:w="15" w:type="dxa"/>
              <w:bottom w:w="0" w:type="dxa"/>
              <w:right w:w="15" w:type="dxa"/>
            </w:tcMar>
            <w:vAlign w:val="bottom"/>
          </w:tcPr>
          <w:p w14:paraId="7D586253"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en-IE"/>
              </w:rPr>
            </w:pPr>
            <w:r w:rsidRPr="00EE0F87">
              <w:rPr>
                <w:rFonts w:ascii="Times New Roman" w:eastAsia="Times New Roman" w:hAnsi="Times New Roman" w:cs="Times New Roman"/>
                <w:lang w:eastAsia="en-IE"/>
              </w:rPr>
              <w:t>(26)</w:t>
            </w:r>
          </w:p>
        </w:tc>
      </w:tr>
      <w:tr w:rsidR="00EE0F87" w:rsidRPr="00EE0F87" w14:paraId="5206B330" w14:textId="77777777" w:rsidTr="00897E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7FEB5714"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lang w:eastAsia="en-IE"/>
              </w:rPr>
              <w:t>Finance expenses – interest on bank loans</w:t>
            </w:r>
          </w:p>
        </w:tc>
        <w:tc>
          <w:tcPr>
            <w:tcW w:w="1188" w:type="dxa"/>
            <w:tcBorders>
              <w:top w:val="nil"/>
              <w:left w:val="nil"/>
              <w:bottom w:val="nil"/>
              <w:right w:val="nil"/>
            </w:tcBorders>
          </w:tcPr>
          <w:p w14:paraId="02789E4B"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Borders>
              <w:top w:val="nil"/>
              <w:left w:val="nil"/>
              <w:bottom w:val="nil"/>
              <w:right w:val="nil"/>
            </w:tcBorders>
          </w:tcPr>
          <w:p w14:paraId="685D58D1"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10" w:type="dxa"/>
            <w:tcBorders>
              <w:top w:val="nil"/>
              <w:left w:val="nil"/>
              <w:bottom w:val="nil"/>
              <w:right w:val="nil"/>
            </w:tcBorders>
            <w:vAlign w:val="bottom"/>
          </w:tcPr>
          <w:p w14:paraId="60254542"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lang w:eastAsia="en-IE"/>
              </w:rPr>
              <w:t>(100)</w:t>
            </w:r>
          </w:p>
        </w:tc>
        <w:tc>
          <w:tcPr>
            <w:tcW w:w="1115" w:type="dxa"/>
            <w:tcBorders>
              <w:top w:val="nil"/>
              <w:left w:val="nil"/>
              <w:bottom w:val="nil"/>
              <w:right w:val="nil"/>
            </w:tcBorders>
            <w:noWrap/>
            <w:tcMar>
              <w:top w:w="15" w:type="dxa"/>
              <w:left w:w="15" w:type="dxa"/>
              <w:bottom w:w="0" w:type="dxa"/>
              <w:right w:w="15" w:type="dxa"/>
            </w:tcMar>
            <w:vAlign w:val="bottom"/>
          </w:tcPr>
          <w:p w14:paraId="10DEE513"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lang w:eastAsia="en-IE"/>
              </w:rPr>
              <w:t>(36)</w:t>
            </w:r>
          </w:p>
        </w:tc>
      </w:tr>
      <w:tr w:rsidR="00EE0F87" w:rsidRPr="00EE0F87" w14:paraId="74B941B6" w14:textId="77777777" w:rsidTr="00897E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6615157F"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188" w:type="dxa"/>
            <w:tcBorders>
              <w:top w:val="nil"/>
              <w:left w:val="nil"/>
              <w:bottom w:val="nil"/>
              <w:right w:val="nil"/>
            </w:tcBorders>
          </w:tcPr>
          <w:p w14:paraId="51E699E7"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188" w:type="dxa"/>
            <w:tcBorders>
              <w:top w:val="nil"/>
              <w:left w:val="nil"/>
              <w:bottom w:val="nil"/>
              <w:right w:val="nil"/>
            </w:tcBorders>
          </w:tcPr>
          <w:p w14:paraId="16AB1AEC"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110" w:type="dxa"/>
            <w:tcBorders>
              <w:top w:val="nil"/>
              <w:left w:val="nil"/>
              <w:bottom w:val="nil"/>
              <w:right w:val="nil"/>
            </w:tcBorders>
            <w:vAlign w:val="bottom"/>
          </w:tcPr>
          <w:p w14:paraId="3D3487B5"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2346F888"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r>
      <w:tr w:rsidR="00EE0F87" w:rsidRPr="00EE0F87" w14:paraId="56C3B1B0" w14:textId="77777777" w:rsidTr="00897E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021AC7D3"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lang w:eastAsia="en-IE"/>
              </w:rPr>
            </w:pPr>
            <w:r w:rsidRPr="00EE0F87">
              <w:rPr>
                <w:rFonts w:ascii="Times New Roman" w:eastAsia="Times New Roman" w:hAnsi="Times New Roman" w:cs="Times New Roman"/>
                <w:b/>
                <w:bCs/>
                <w:lang w:eastAsia="en-IE"/>
              </w:rPr>
              <w:t>Profit/(loss) on continuing activities before taxation</w:t>
            </w:r>
          </w:p>
        </w:tc>
        <w:tc>
          <w:tcPr>
            <w:tcW w:w="1188" w:type="dxa"/>
            <w:tcBorders>
              <w:left w:val="nil"/>
              <w:right w:val="nil"/>
            </w:tcBorders>
          </w:tcPr>
          <w:p w14:paraId="5870A1EC"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Borders>
              <w:left w:val="nil"/>
              <w:right w:val="nil"/>
            </w:tcBorders>
          </w:tcPr>
          <w:p w14:paraId="7400C462"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10" w:type="dxa"/>
            <w:tcBorders>
              <w:top w:val="single" w:sz="4" w:space="0" w:color="auto"/>
              <w:left w:val="nil"/>
              <w:bottom w:val="single" w:sz="4" w:space="0" w:color="auto"/>
              <w:right w:val="nil"/>
            </w:tcBorders>
            <w:vAlign w:val="bottom"/>
          </w:tcPr>
          <w:p w14:paraId="5C7AD8CA"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sz w:val="20"/>
                <w:szCs w:val="20"/>
                <w:lang w:eastAsia="en-IE"/>
              </w:rPr>
              <w:t>217</w:t>
            </w:r>
          </w:p>
        </w:tc>
        <w:tc>
          <w:tcPr>
            <w:tcW w:w="1115"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6FDB9A84"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lang w:eastAsia="en-IE"/>
              </w:rPr>
              <w:t>(1,066)</w:t>
            </w:r>
          </w:p>
        </w:tc>
      </w:tr>
      <w:tr w:rsidR="00EE0F87" w:rsidRPr="00EE0F87" w14:paraId="6DE2D466" w14:textId="77777777" w:rsidTr="00897E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2C8490F8"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188" w:type="dxa"/>
            <w:tcBorders>
              <w:top w:val="nil"/>
              <w:left w:val="nil"/>
              <w:bottom w:val="nil"/>
              <w:right w:val="nil"/>
            </w:tcBorders>
          </w:tcPr>
          <w:p w14:paraId="74BA4060"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188" w:type="dxa"/>
            <w:tcBorders>
              <w:top w:val="nil"/>
              <w:left w:val="nil"/>
              <w:bottom w:val="nil"/>
              <w:right w:val="nil"/>
            </w:tcBorders>
          </w:tcPr>
          <w:p w14:paraId="28448B40"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110" w:type="dxa"/>
            <w:tcBorders>
              <w:top w:val="nil"/>
              <w:left w:val="nil"/>
              <w:bottom w:val="nil"/>
              <w:right w:val="nil"/>
            </w:tcBorders>
            <w:vAlign w:val="bottom"/>
          </w:tcPr>
          <w:p w14:paraId="689EF123"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3495B238"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r>
      <w:tr w:rsidR="00EE0F87" w:rsidRPr="00EE0F87" w14:paraId="77EB4AAA" w14:textId="77777777" w:rsidTr="00897E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31FB46E4"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lang w:eastAsia="en-IE"/>
              </w:rPr>
              <w:t xml:space="preserve">Income taxes – Corporation tax </w:t>
            </w:r>
          </w:p>
        </w:tc>
        <w:tc>
          <w:tcPr>
            <w:tcW w:w="1188" w:type="dxa"/>
            <w:tcBorders>
              <w:top w:val="nil"/>
              <w:left w:val="nil"/>
              <w:bottom w:val="nil"/>
              <w:right w:val="nil"/>
            </w:tcBorders>
          </w:tcPr>
          <w:p w14:paraId="0FDB59CB"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Borders>
              <w:top w:val="nil"/>
              <w:left w:val="nil"/>
              <w:bottom w:val="nil"/>
              <w:right w:val="nil"/>
            </w:tcBorders>
          </w:tcPr>
          <w:p w14:paraId="6D1086BA"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10" w:type="dxa"/>
            <w:tcBorders>
              <w:top w:val="nil"/>
              <w:left w:val="nil"/>
              <w:bottom w:val="nil"/>
              <w:right w:val="nil"/>
            </w:tcBorders>
            <w:vAlign w:val="bottom"/>
          </w:tcPr>
          <w:p w14:paraId="2E0D8070"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sz w:val="20"/>
                <w:szCs w:val="20"/>
                <w:lang w:eastAsia="en-IE"/>
              </w:rPr>
              <w:t>(40)</w:t>
            </w:r>
          </w:p>
        </w:tc>
        <w:tc>
          <w:tcPr>
            <w:tcW w:w="1115" w:type="dxa"/>
            <w:tcBorders>
              <w:top w:val="nil"/>
              <w:left w:val="nil"/>
              <w:bottom w:val="nil"/>
              <w:right w:val="nil"/>
            </w:tcBorders>
            <w:noWrap/>
            <w:tcMar>
              <w:top w:w="15" w:type="dxa"/>
              <w:left w:w="15" w:type="dxa"/>
              <w:bottom w:w="0" w:type="dxa"/>
              <w:right w:w="15" w:type="dxa"/>
            </w:tcMar>
            <w:vAlign w:val="bottom"/>
          </w:tcPr>
          <w:p w14:paraId="57050DB2"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(20)</w:t>
            </w:r>
          </w:p>
        </w:tc>
      </w:tr>
      <w:tr w:rsidR="00EE0F87" w:rsidRPr="00EE0F87" w14:paraId="791EBA39" w14:textId="77777777" w:rsidTr="00897E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189C5645"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lang w:eastAsia="en-IE"/>
              </w:rPr>
              <w:t>Income taxes – Deferred tax</w:t>
            </w:r>
          </w:p>
        </w:tc>
        <w:tc>
          <w:tcPr>
            <w:tcW w:w="1188" w:type="dxa"/>
            <w:tcBorders>
              <w:top w:val="nil"/>
              <w:left w:val="nil"/>
              <w:bottom w:val="nil"/>
              <w:right w:val="nil"/>
            </w:tcBorders>
          </w:tcPr>
          <w:p w14:paraId="40A647F1"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Borders>
              <w:top w:val="nil"/>
              <w:left w:val="nil"/>
              <w:bottom w:val="nil"/>
              <w:right w:val="nil"/>
            </w:tcBorders>
          </w:tcPr>
          <w:p w14:paraId="4622CF34"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10" w:type="dxa"/>
            <w:tcBorders>
              <w:top w:val="nil"/>
              <w:left w:val="nil"/>
              <w:bottom w:val="nil"/>
              <w:right w:val="nil"/>
            </w:tcBorders>
            <w:vAlign w:val="bottom"/>
          </w:tcPr>
          <w:p w14:paraId="4073D1E3"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lang w:eastAsia="en-IE"/>
              </w:rPr>
              <w:t>(21)</w:t>
            </w:r>
          </w:p>
        </w:tc>
        <w:tc>
          <w:tcPr>
            <w:tcW w:w="1115" w:type="dxa"/>
            <w:tcBorders>
              <w:top w:val="nil"/>
              <w:left w:val="nil"/>
              <w:bottom w:val="nil"/>
              <w:right w:val="nil"/>
            </w:tcBorders>
            <w:noWrap/>
            <w:tcMar>
              <w:top w:w="15" w:type="dxa"/>
              <w:left w:w="15" w:type="dxa"/>
              <w:bottom w:w="0" w:type="dxa"/>
              <w:right w:w="15" w:type="dxa"/>
            </w:tcMar>
            <w:vAlign w:val="bottom"/>
          </w:tcPr>
          <w:p w14:paraId="3647BCB2"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lang w:eastAsia="en-IE"/>
              </w:rPr>
              <w:t>33</w:t>
            </w:r>
          </w:p>
        </w:tc>
      </w:tr>
      <w:tr w:rsidR="00EE0F87" w:rsidRPr="00EE0F87" w14:paraId="7AE1E389" w14:textId="77777777" w:rsidTr="00897EB6">
        <w:tblPrEx>
          <w:tblCellMar>
            <w:left w:w="108" w:type="dxa"/>
            <w:right w:w="108" w:type="dxa"/>
          </w:tblCellMar>
        </w:tblPrEx>
        <w:trPr>
          <w:trHeight w:val="255"/>
        </w:trPr>
        <w:tc>
          <w:tcPr>
            <w:tcW w:w="4977" w:type="dxa"/>
            <w:noWrap/>
          </w:tcPr>
          <w:p w14:paraId="2ADB1A70"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188" w:type="dxa"/>
          </w:tcPr>
          <w:p w14:paraId="32920CBC"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188" w:type="dxa"/>
          </w:tcPr>
          <w:p w14:paraId="27FF5E2B"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110" w:type="dxa"/>
            <w:tcBorders>
              <w:bottom w:val="single" w:sz="4" w:space="0" w:color="auto"/>
            </w:tcBorders>
          </w:tcPr>
          <w:p w14:paraId="0ACC513F"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en-IE"/>
              </w:rPr>
            </w:pPr>
          </w:p>
        </w:tc>
        <w:tc>
          <w:tcPr>
            <w:tcW w:w="1115" w:type="dxa"/>
            <w:tcBorders>
              <w:bottom w:val="single" w:sz="4" w:space="0" w:color="auto"/>
            </w:tcBorders>
            <w:noWrap/>
          </w:tcPr>
          <w:p w14:paraId="5B558526"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r>
      <w:tr w:rsidR="00EE0F87" w:rsidRPr="00EE0F87" w14:paraId="159A4141" w14:textId="77777777" w:rsidTr="00897EB6">
        <w:tblPrEx>
          <w:tblCellMar>
            <w:left w:w="108" w:type="dxa"/>
            <w:right w:w="108" w:type="dxa"/>
          </w:tblCellMar>
        </w:tblPrEx>
        <w:trPr>
          <w:trHeight w:val="270"/>
        </w:trPr>
        <w:tc>
          <w:tcPr>
            <w:tcW w:w="4977" w:type="dxa"/>
            <w:noWrap/>
          </w:tcPr>
          <w:p w14:paraId="46E2EBB7"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lang w:eastAsia="en-IE"/>
              </w:rPr>
            </w:pPr>
            <w:r w:rsidRPr="00EE0F87">
              <w:rPr>
                <w:rFonts w:ascii="Times New Roman" w:eastAsia="Times New Roman" w:hAnsi="Times New Roman" w:cs="Times New Roman"/>
                <w:b/>
                <w:bCs/>
                <w:lang w:eastAsia="en-IE"/>
              </w:rPr>
              <w:t>Profit/(loss) for the financial year from continuing operations</w:t>
            </w:r>
          </w:p>
        </w:tc>
        <w:tc>
          <w:tcPr>
            <w:tcW w:w="1188" w:type="dxa"/>
          </w:tcPr>
          <w:p w14:paraId="0A79A985"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Pr>
          <w:p w14:paraId="78690537"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10" w:type="dxa"/>
          </w:tcPr>
          <w:p w14:paraId="6FFA0E22"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en-IE"/>
              </w:rPr>
            </w:pPr>
            <w:r w:rsidRPr="00EE0F87">
              <w:rPr>
                <w:rFonts w:ascii="Times New Roman" w:eastAsia="Times New Roman" w:hAnsi="Times New Roman" w:cs="Times New Roman"/>
                <w:b/>
                <w:lang w:eastAsia="en-IE"/>
              </w:rPr>
              <w:t>156</w:t>
            </w:r>
          </w:p>
        </w:tc>
        <w:tc>
          <w:tcPr>
            <w:tcW w:w="1115" w:type="dxa"/>
            <w:noWrap/>
          </w:tcPr>
          <w:p w14:paraId="66FD11A1"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lang w:eastAsia="en-IE"/>
              </w:rPr>
              <w:t>(1,053)</w:t>
            </w:r>
          </w:p>
        </w:tc>
      </w:tr>
      <w:tr w:rsidR="00EE0F87" w:rsidRPr="00EE0F87" w14:paraId="4084E347" w14:textId="77777777" w:rsidTr="00897EB6">
        <w:tblPrEx>
          <w:tblCellMar>
            <w:left w:w="108" w:type="dxa"/>
            <w:right w:w="108" w:type="dxa"/>
          </w:tblCellMar>
        </w:tblPrEx>
        <w:trPr>
          <w:trHeight w:val="270"/>
        </w:trPr>
        <w:tc>
          <w:tcPr>
            <w:tcW w:w="4977" w:type="dxa"/>
            <w:noWrap/>
          </w:tcPr>
          <w:p w14:paraId="59C62671"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bCs/>
                <w:lang w:eastAsia="en-IE"/>
              </w:rPr>
            </w:pPr>
          </w:p>
        </w:tc>
        <w:tc>
          <w:tcPr>
            <w:tcW w:w="1188" w:type="dxa"/>
          </w:tcPr>
          <w:p w14:paraId="21BD9000"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Pr>
          <w:p w14:paraId="004A0667"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10" w:type="dxa"/>
          </w:tcPr>
          <w:p w14:paraId="32E44BF3"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en-IE"/>
              </w:rPr>
            </w:pPr>
          </w:p>
        </w:tc>
        <w:tc>
          <w:tcPr>
            <w:tcW w:w="1115" w:type="dxa"/>
            <w:noWrap/>
          </w:tcPr>
          <w:p w14:paraId="7B427B66"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en-IE"/>
              </w:rPr>
            </w:pPr>
          </w:p>
        </w:tc>
      </w:tr>
      <w:tr w:rsidR="00EE0F87" w:rsidRPr="00EE0F87" w14:paraId="2588EB77" w14:textId="77777777" w:rsidTr="00897EB6">
        <w:tblPrEx>
          <w:tblCellMar>
            <w:left w:w="108" w:type="dxa"/>
            <w:right w:w="108" w:type="dxa"/>
          </w:tblCellMar>
        </w:tblPrEx>
        <w:trPr>
          <w:trHeight w:val="270"/>
        </w:trPr>
        <w:tc>
          <w:tcPr>
            <w:tcW w:w="4977" w:type="dxa"/>
            <w:noWrap/>
          </w:tcPr>
          <w:p w14:paraId="450FF1EF"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lang w:eastAsia="en-IE"/>
              </w:rPr>
            </w:pPr>
            <w:r w:rsidRPr="00EE0F87">
              <w:rPr>
                <w:rFonts w:ascii="Times New Roman" w:eastAsia="Times New Roman" w:hAnsi="Times New Roman" w:cs="Times New Roman"/>
                <w:bCs/>
                <w:lang w:eastAsia="en-IE"/>
              </w:rPr>
              <w:t>(Loss)/profit for the financial year from discontinued operations</w:t>
            </w:r>
          </w:p>
        </w:tc>
        <w:tc>
          <w:tcPr>
            <w:tcW w:w="1188" w:type="dxa"/>
          </w:tcPr>
          <w:p w14:paraId="0FC1412F" w14:textId="77777777" w:rsidR="00EE0F87" w:rsidRPr="00EE0F87" w:rsidRDefault="00EE0F87" w:rsidP="00EE0F87">
            <w:pPr>
              <w:overflowPunct w:val="0"/>
              <w:autoSpaceDE w:val="0"/>
              <w:autoSpaceDN w:val="0"/>
              <w:adjustRightInd w:val="0"/>
              <w:spacing w:after="0" w:line="240" w:lineRule="auto"/>
              <w:ind w:left="-108"/>
              <w:textAlignment w:val="baseline"/>
              <w:rPr>
                <w:rFonts w:ascii="Times New Roman" w:eastAsia="Times New Roman" w:hAnsi="Times New Roman" w:cs="Times New Roman"/>
                <w:lang w:eastAsia="en-IE"/>
              </w:rPr>
            </w:pPr>
          </w:p>
          <w:p w14:paraId="03EE5602"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Pr>
          <w:p w14:paraId="69664B76"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10" w:type="dxa"/>
          </w:tcPr>
          <w:p w14:paraId="1469EBAD"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en-IE"/>
              </w:rPr>
            </w:pPr>
            <w:r w:rsidRPr="00EE0F87">
              <w:rPr>
                <w:rFonts w:ascii="Times New Roman" w:eastAsia="Times New Roman" w:hAnsi="Times New Roman" w:cs="Times New Roman"/>
                <w:b/>
                <w:lang w:eastAsia="en-IE"/>
              </w:rPr>
              <w:t xml:space="preserve">    (1,404)</w:t>
            </w:r>
          </w:p>
          <w:p w14:paraId="3E82FE5A"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lang w:eastAsia="en-IE"/>
              </w:rPr>
            </w:pPr>
          </w:p>
        </w:tc>
        <w:tc>
          <w:tcPr>
            <w:tcW w:w="1115" w:type="dxa"/>
            <w:noWrap/>
          </w:tcPr>
          <w:p w14:paraId="42648681"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en-IE"/>
              </w:rPr>
            </w:pPr>
            <w:r w:rsidRPr="00EE0F87">
              <w:rPr>
                <w:rFonts w:ascii="Times New Roman" w:eastAsia="Times New Roman" w:hAnsi="Times New Roman" w:cs="Times New Roman"/>
                <w:lang w:eastAsia="en-IE"/>
              </w:rPr>
              <w:t>39,120</w:t>
            </w:r>
          </w:p>
        </w:tc>
      </w:tr>
      <w:tr w:rsidR="00EE0F87" w:rsidRPr="00EE0F87" w14:paraId="59FEB440" w14:textId="77777777" w:rsidTr="00897EB6">
        <w:tblPrEx>
          <w:tblCellMar>
            <w:left w:w="108" w:type="dxa"/>
            <w:right w:w="108" w:type="dxa"/>
          </w:tblCellMar>
        </w:tblPrEx>
        <w:trPr>
          <w:trHeight w:val="270"/>
        </w:trPr>
        <w:tc>
          <w:tcPr>
            <w:tcW w:w="4977" w:type="dxa"/>
            <w:noWrap/>
          </w:tcPr>
          <w:p w14:paraId="10BDFD97"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bCs/>
                <w:lang w:eastAsia="en-IE"/>
              </w:rPr>
            </w:pPr>
          </w:p>
        </w:tc>
        <w:tc>
          <w:tcPr>
            <w:tcW w:w="1188" w:type="dxa"/>
          </w:tcPr>
          <w:p w14:paraId="63B636A9"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Pr>
          <w:p w14:paraId="605BE30F"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10" w:type="dxa"/>
            <w:tcBorders>
              <w:bottom w:val="single" w:sz="4" w:space="0" w:color="auto"/>
            </w:tcBorders>
          </w:tcPr>
          <w:p w14:paraId="4022A558"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en-IE"/>
              </w:rPr>
            </w:pPr>
          </w:p>
        </w:tc>
        <w:tc>
          <w:tcPr>
            <w:tcW w:w="1115" w:type="dxa"/>
            <w:tcBorders>
              <w:bottom w:val="single" w:sz="4" w:space="0" w:color="auto"/>
            </w:tcBorders>
            <w:noWrap/>
          </w:tcPr>
          <w:p w14:paraId="0C2DF438"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en-IE"/>
              </w:rPr>
            </w:pPr>
          </w:p>
        </w:tc>
      </w:tr>
      <w:tr w:rsidR="00EE0F87" w:rsidRPr="00EE0F87" w14:paraId="2228FE2F" w14:textId="77777777" w:rsidTr="00897EB6">
        <w:tblPrEx>
          <w:tblCellMar>
            <w:left w:w="108" w:type="dxa"/>
            <w:right w:w="108" w:type="dxa"/>
          </w:tblCellMar>
        </w:tblPrEx>
        <w:trPr>
          <w:trHeight w:val="270"/>
        </w:trPr>
        <w:tc>
          <w:tcPr>
            <w:tcW w:w="4977" w:type="dxa"/>
            <w:noWrap/>
          </w:tcPr>
          <w:p w14:paraId="1B55E606"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bCs/>
                <w:lang w:eastAsia="en-IE"/>
              </w:rPr>
            </w:pPr>
            <w:r w:rsidRPr="00EE0F87">
              <w:rPr>
                <w:rFonts w:ascii="Times New Roman" w:eastAsia="Times New Roman" w:hAnsi="Times New Roman" w:cs="Times New Roman"/>
                <w:b/>
                <w:bCs/>
                <w:lang w:eastAsia="en-IE"/>
              </w:rPr>
              <w:t>(Loss)/profit for the financial year attributable to</w:t>
            </w:r>
          </w:p>
          <w:p w14:paraId="496647CD"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bCs/>
                <w:lang w:eastAsia="en-IE"/>
              </w:rPr>
            </w:pPr>
            <w:r w:rsidRPr="00EE0F87">
              <w:rPr>
                <w:rFonts w:ascii="Times New Roman" w:eastAsia="Times New Roman" w:hAnsi="Times New Roman" w:cs="Times New Roman"/>
                <w:b/>
                <w:bCs/>
                <w:lang w:eastAsia="en-IE"/>
              </w:rPr>
              <w:t>owners of the parent</w:t>
            </w:r>
          </w:p>
        </w:tc>
        <w:tc>
          <w:tcPr>
            <w:tcW w:w="1188" w:type="dxa"/>
          </w:tcPr>
          <w:p w14:paraId="73DD5238"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Pr>
          <w:p w14:paraId="0CA82AE1"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10" w:type="dxa"/>
            <w:tcBorders>
              <w:top w:val="single" w:sz="4" w:space="0" w:color="auto"/>
            </w:tcBorders>
          </w:tcPr>
          <w:p w14:paraId="2A81A905"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en-IE"/>
              </w:rPr>
            </w:pPr>
            <w:r w:rsidRPr="00EE0F87">
              <w:rPr>
                <w:rFonts w:ascii="Times New Roman" w:eastAsia="Times New Roman" w:hAnsi="Times New Roman" w:cs="Times New Roman"/>
                <w:b/>
                <w:lang w:eastAsia="en-IE"/>
              </w:rPr>
              <w:t>(1,248)</w:t>
            </w:r>
          </w:p>
        </w:tc>
        <w:tc>
          <w:tcPr>
            <w:tcW w:w="1115" w:type="dxa"/>
            <w:tcBorders>
              <w:top w:val="single" w:sz="4" w:space="0" w:color="auto"/>
            </w:tcBorders>
            <w:noWrap/>
          </w:tcPr>
          <w:p w14:paraId="4B3DEFE5"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en-IE"/>
              </w:rPr>
            </w:pPr>
            <w:r w:rsidRPr="00EE0F87">
              <w:rPr>
                <w:rFonts w:ascii="Times New Roman" w:eastAsia="Times New Roman" w:hAnsi="Times New Roman" w:cs="Times New Roman"/>
                <w:lang w:eastAsia="en-IE"/>
              </w:rPr>
              <w:t>38,067</w:t>
            </w:r>
          </w:p>
        </w:tc>
      </w:tr>
      <w:tr w:rsidR="00EE0F87" w:rsidRPr="00EE0F87" w14:paraId="7D18AB1D" w14:textId="77777777" w:rsidTr="00897EB6">
        <w:tblPrEx>
          <w:tblCellMar>
            <w:left w:w="108" w:type="dxa"/>
            <w:right w:w="108" w:type="dxa"/>
          </w:tblCellMar>
        </w:tblPrEx>
        <w:trPr>
          <w:trHeight w:val="270"/>
        </w:trPr>
        <w:tc>
          <w:tcPr>
            <w:tcW w:w="4977" w:type="dxa"/>
            <w:noWrap/>
          </w:tcPr>
          <w:p w14:paraId="19AC0A52"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bCs/>
                <w:lang w:eastAsia="en-IE"/>
              </w:rPr>
            </w:pPr>
          </w:p>
        </w:tc>
        <w:tc>
          <w:tcPr>
            <w:tcW w:w="1188" w:type="dxa"/>
          </w:tcPr>
          <w:p w14:paraId="7814BCEF"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Pr>
          <w:p w14:paraId="4EA11229"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10" w:type="dxa"/>
          </w:tcPr>
          <w:p w14:paraId="14429A1F"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en-IE"/>
              </w:rPr>
            </w:pPr>
          </w:p>
        </w:tc>
        <w:tc>
          <w:tcPr>
            <w:tcW w:w="1115" w:type="dxa"/>
            <w:noWrap/>
          </w:tcPr>
          <w:p w14:paraId="5A1F47F7"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en-IE"/>
              </w:rPr>
            </w:pPr>
          </w:p>
        </w:tc>
      </w:tr>
      <w:tr w:rsidR="00EE0F87" w:rsidRPr="00EE0F87" w14:paraId="5C1006C4" w14:textId="77777777" w:rsidTr="00897EB6">
        <w:tblPrEx>
          <w:tblCellMar>
            <w:left w:w="108" w:type="dxa"/>
            <w:right w:w="108" w:type="dxa"/>
          </w:tblCellMar>
        </w:tblPrEx>
        <w:trPr>
          <w:trHeight w:val="270"/>
        </w:trPr>
        <w:tc>
          <w:tcPr>
            <w:tcW w:w="4977" w:type="dxa"/>
            <w:noWrap/>
          </w:tcPr>
          <w:p w14:paraId="36697651"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lang w:eastAsia="en-IE"/>
              </w:rPr>
            </w:pPr>
            <w:r w:rsidRPr="00EE0F87">
              <w:rPr>
                <w:rFonts w:ascii="Times New Roman" w:eastAsia="Times New Roman" w:hAnsi="Times New Roman" w:cs="Times New Roman"/>
                <w:bCs/>
                <w:lang w:eastAsia="en-IE"/>
              </w:rPr>
              <w:t>Other comprehensive income/(expense)</w:t>
            </w:r>
          </w:p>
        </w:tc>
        <w:tc>
          <w:tcPr>
            <w:tcW w:w="1188" w:type="dxa"/>
          </w:tcPr>
          <w:p w14:paraId="06ECC1CB"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Pr>
          <w:p w14:paraId="43D33D59"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10" w:type="dxa"/>
            <w:tcBorders>
              <w:bottom w:val="single" w:sz="4" w:space="0" w:color="auto"/>
            </w:tcBorders>
          </w:tcPr>
          <w:p w14:paraId="19E54671"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en-IE"/>
              </w:rPr>
            </w:pPr>
            <w:r w:rsidRPr="00EE0F87">
              <w:rPr>
                <w:rFonts w:ascii="Times New Roman" w:eastAsia="Times New Roman" w:hAnsi="Times New Roman" w:cs="Times New Roman"/>
                <w:b/>
                <w:lang w:eastAsia="en-IE"/>
              </w:rPr>
              <w:t>169</w:t>
            </w:r>
          </w:p>
        </w:tc>
        <w:tc>
          <w:tcPr>
            <w:tcW w:w="1115" w:type="dxa"/>
            <w:tcBorders>
              <w:bottom w:val="single" w:sz="4" w:space="0" w:color="auto"/>
            </w:tcBorders>
            <w:noWrap/>
          </w:tcPr>
          <w:p w14:paraId="0BCC1EFE"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en-IE"/>
              </w:rPr>
            </w:pPr>
            <w:r w:rsidRPr="00EE0F87">
              <w:rPr>
                <w:rFonts w:ascii="Times New Roman" w:eastAsia="Times New Roman" w:hAnsi="Times New Roman" w:cs="Times New Roman"/>
                <w:lang w:eastAsia="en-IE"/>
              </w:rPr>
              <w:t>(355)</w:t>
            </w:r>
          </w:p>
          <w:p w14:paraId="30CDA3C2"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en-IE"/>
              </w:rPr>
            </w:pPr>
          </w:p>
        </w:tc>
      </w:tr>
      <w:tr w:rsidR="00EE0F87" w:rsidRPr="00EE0F87" w14:paraId="7D4B504E" w14:textId="77777777" w:rsidTr="00897EB6">
        <w:tblPrEx>
          <w:tblCellMar>
            <w:left w:w="108" w:type="dxa"/>
            <w:right w:w="108" w:type="dxa"/>
          </w:tblCellMar>
        </w:tblPrEx>
        <w:trPr>
          <w:trHeight w:val="270"/>
        </w:trPr>
        <w:tc>
          <w:tcPr>
            <w:tcW w:w="4977" w:type="dxa"/>
            <w:noWrap/>
          </w:tcPr>
          <w:p w14:paraId="6DE07D5E"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bCs/>
                <w:lang w:eastAsia="en-IE"/>
              </w:rPr>
            </w:pPr>
            <w:r w:rsidRPr="00EE0F87">
              <w:rPr>
                <w:rFonts w:ascii="Times New Roman" w:eastAsia="Times New Roman" w:hAnsi="Times New Roman" w:cs="Times New Roman"/>
                <w:b/>
                <w:bCs/>
                <w:lang w:eastAsia="en-IE"/>
              </w:rPr>
              <w:t>Total comprehensive income for the financial year attributable to owners of the parent</w:t>
            </w:r>
          </w:p>
        </w:tc>
        <w:tc>
          <w:tcPr>
            <w:tcW w:w="1188" w:type="dxa"/>
          </w:tcPr>
          <w:p w14:paraId="58367C21"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Pr>
          <w:p w14:paraId="3D44D6EE"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10" w:type="dxa"/>
            <w:tcBorders>
              <w:top w:val="single" w:sz="4" w:space="0" w:color="auto"/>
              <w:bottom w:val="double" w:sz="4" w:space="0" w:color="auto"/>
            </w:tcBorders>
          </w:tcPr>
          <w:p w14:paraId="14F6333E"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en-IE"/>
              </w:rPr>
            </w:pPr>
            <w:r w:rsidRPr="00EE0F87">
              <w:rPr>
                <w:rFonts w:ascii="Times New Roman" w:eastAsia="Times New Roman" w:hAnsi="Times New Roman" w:cs="Times New Roman"/>
                <w:b/>
                <w:lang w:eastAsia="en-IE"/>
              </w:rPr>
              <w:t>(1,079)</w:t>
            </w:r>
          </w:p>
        </w:tc>
        <w:tc>
          <w:tcPr>
            <w:tcW w:w="1115" w:type="dxa"/>
            <w:tcBorders>
              <w:top w:val="single" w:sz="4" w:space="0" w:color="auto"/>
              <w:bottom w:val="double" w:sz="4" w:space="0" w:color="auto"/>
            </w:tcBorders>
            <w:noWrap/>
          </w:tcPr>
          <w:p w14:paraId="44188FA4"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en-IE"/>
              </w:rPr>
            </w:pPr>
            <w:r w:rsidRPr="00EE0F87">
              <w:rPr>
                <w:rFonts w:ascii="Times New Roman" w:eastAsia="Times New Roman" w:hAnsi="Times New Roman" w:cs="Times New Roman"/>
                <w:lang w:eastAsia="en-IE"/>
              </w:rPr>
              <w:t>37,712</w:t>
            </w:r>
          </w:p>
        </w:tc>
      </w:tr>
      <w:tr w:rsidR="00EE0F87" w:rsidRPr="00EE0F87" w14:paraId="2A50D8DB" w14:textId="77777777" w:rsidTr="00897EB6">
        <w:tblPrEx>
          <w:tblCellMar>
            <w:left w:w="108" w:type="dxa"/>
            <w:right w:w="108" w:type="dxa"/>
          </w:tblCellMar>
        </w:tblPrEx>
        <w:trPr>
          <w:trHeight w:val="270"/>
        </w:trPr>
        <w:tc>
          <w:tcPr>
            <w:tcW w:w="4977" w:type="dxa"/>
            <w:noWrap/>
          </w:tcPr>
          <w:p w14:paraId="4D54B659"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188" w:type="dxa"/>
          </w:tcPr>
          <w:p w14:paraId="45E45178"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188" w:type="dxa"/>
          </w:tcPr>
          <w:p w14:paraId="631639F7"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110" w:type="dxa"/>
            <w:tcBorders>
              <w:top w:val="double" w:sz="4" w:space="0" w:color="auto"/>
            </w:tcBorders>
          </w:tcPr>
          <w:p w14:paraId="66BA9C9C"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en-IE"/>
              </w:rPr>
            </w:pPr>
          </w:p>
        </w:tc>
        <w:tc>
          <w:tcPr>
            <w:tcW w:w="1115" w:type="dxa"/>
            <w:tcBorders>
              <w:top w:val="double" w:sz="4" w:space="0" w:color="auto"/>
            </w:tcBorders>
            <w:noWrap/>
          </w:tcPr>
          <w:p w14:paraId="2016EB62"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r>
    </w:tbl>
    <w:p w14:paraId="7A9C239F" w14:textId="77777777" w:rsidR="00EE0F87" w:rsidRPr="00EE0F87" w:rsidRDefault="00EE0F87" w:rsidP="00EE0F87">
      <w:pPr>
        <w:spacing w:after="0" w:line="240" w:lineRule="auto"/>
        <w:textAlignment w:val="baseline"/>
        <w:rPr>
          <w:rFonts w:ascii="Times New Roman" w:eastAsia="Times New Roman" w:hAnsi="Times New Roman" w:cs="Times New Roman"/>
          <w:sz w:val="20"/>
          <w:szCs w:val="20"/>
          <w:lang w:eastAsia="en-IE"/>
        </w:rPr>
      </w:pPr>
    </w:p>
    <w:p w14:paraId="530F7156" w14:textId="77777777" w:rsidR="00EE0F87" w:rsidRPr="00EE0F87" w:rsidRDefault="00EE0F87" w:rsidP="00EE0F87">
      <w:pPr>
        <w:spacing w:after="0" w:line="240" w:lineRule="auto"/>
        <w:textAlignment w:val="baseline"/>
        <w:rPr>
          <w:rFonts w:ascii="Times New Roman" w:eastAsia="Times New Roman" w:hAnsi="Times New Roman" w:cs="Times New Roman"/>
          <w:sz w:val="20"/>
          <w:szCs w:val="20"/>
          <w:lang w:eastAsia="en-IE"/>
        </w:rPr>
      </w:pPr>
    </w:p>
    <w:p w14:paraId="127BE3B6" w14:textId="77777777" w:rsidR="00EE0F87" w:rsidRPr="00EE0F87" w:rsidRDefault="00EE0F87" w:rsidP="00EE0F87">
      <w:pPr>
        <w:spacing w:after="0" w:line="240" w:lineRule="auto"/>
        <w:textAlignment w:val="baseline"/>
        <w:rPr>
          <w:rFonts w:ascii="Times New Roman" w:eastAsia="Times New Roman" w:hAnsi="Times New Roman" w:cs="Times New Roman"/>
          <w:sz w:val="20"/>
          <w:szCs w:val="20"/>
          <w:lang w:eastAsia="en-IE"/>
        </w:rPr>
      </w:pPr>
    </w:p>
    <w:p w14:paraId="35DB6D12"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p w14:paraId="3DF42EF8" w14:textId="77777777" w:rsidR="00EE0F87" w:rsidRPr="00EE0F87" w:rsidRDefault="00EE0F87" w:rsidP="00EE0F87">
      <w:pPr>
        <w:spacing w:after="0" w:line="240" w:lineRule="auto"/>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br w:type="page"/>
      </w:r>
    </w:p>
    <w:tbl>
      <w:tblPr>
        <w:tblW w:w="9578" w:type="dxa"/>
        <w:tblLayout w:type="fixed"/>
        <w:tblCellMar>
          <w:left w:w="0" w:type="dxa"/>
          <w:right w:w="0" w:type="dxa"/>
        </w:tblCellMar>
        <w:tblLook w:val="0000" w:firstRow="0" w:lastRow="0" w:firstColumn="0" w:lastColumn="0" w:noHBand="0" w:noVBand="0"/>
      </w:tblPr>
      <w:tblGrid>
        <w:gridCol w:w="4977"/>
        <w:gridCol w:w="1188"/>
        <w:gridCol w:w="1188"/>
        <w:gridCol w:w="1110"/>
        <w:gridCol w:w="1115"/>
      </w:tblGrid>
      <w:tr w:rsidR="00EE0F87" w:rsidRPr="00EE0F87" w14:paraId="25B2750A" w14:textId="77777777" w:rsidTr="00897EB6">
        <w:trPr>
          <w:trHeight w:val="255"/>
        </w:trPr>
        <w:tc>
          <w:tcPr>
            <w:tcW w:w="9578" w:type="dxa"/>
            <w:gridSpan w:val="5"/>
            <w:tcBorders>
              <w:top w:val="nil"/>
              <w:left w:val="nil"/>
              <w:bottom w:val="single" w:sz="4" w:space="0" w:color="auto"/>
              <w:right w:val="nil"/>
            </w:tcBorders>
            <w:noWrap/>
            <w:tcMar>
              <w:top w:w="15" w:type="dxa"/>
              <w:left w:w="15" w:type="dxa"/>
              <w:bottom w:w="0" w:type="dxa"/>
              <w:right w:w="15" w:type="dxa"/>
            </w:tcMar>
            <w:vAlign w:val="bottom"/>
          </w:tcPr>
          <w:p w14:paraId="5BBABB5B" w14:textId="77777777" w:rsidR="00EE0F87" w:rsidRPr="00EE0F87" w:rsidRDefault="00EE0F87" w:rsidP="00EE0F87">
            <w:pPr>
              <w:spacing w:after="0" w:line="240" w:lineRule="auto"/>
              <w:textAlignment w:val="baseline"/>
              <w:rPr>
                <w:rFonts w:ascii="Times New Roman" w:eastAsia="Times New Roman" w:hAnsi="Times New Roman" w:cs="Times New Roman"/>
                <w:sz w:val="20"/>
                <w:szCs w:val="20"/>
                <w:lang w:eastAsia="en-IE"/>
              </w:rPr>
            </w:pPr>
            <w:bookmarkStart w:id="6" w:name="_Hlk34223767"/>
            <w:r w:rsidRPr="00EE0F87">
              <w:rPr>
                <w:rFonts w:ascii="Times New Roman" w:eastAsia="Times New Roman" w:hAnsi="Times New Roman" w:cs="Times New Roman"/>
                <w:sz w:val="20"/>
                <w:szCs w:val="20"/>
                <w:lang w:eastAsia="en-IE"/>
              </w:rPr>
              <w:lastRenderedPageBreak/>
              <w:br w:type="page"/>
            </w:r>
            <w:r w:rsidRPr="00EE0F87">
              <w:rPr>
                <w:rFonts w:ascii="Arial" w:eastAsia="Times New Roman" w:hAnsi="Arial" w:cs="Arial"/>
                <w:b/>
                <w:bCs/>
                <w:caps/>
                <w:color w:val="000000"/>
                <w:sz w:val="30"/>
                <w:szCs w:val="30"/>
                <w:lang w:eastAsia="en-GB"/>
              </w:rPr>
              <w:t>CONSOLIDATED STATEMENT OF COMPREHENSIVE INCOME</w:t>
            </w:r>
          </w:p>
        </w:tc>
      </w:tr>
      <w:tr w:rsidR="00EE0F87" w:rsidRPr="00EE0F87" w14:paraId="504C048D" w14:textId="77777777" w:rsidTr="00897EB6">
        <w:trPr>
          <w:trHeight w:val="255"/>
        </w:trPr>
        <w:tc>
          <w:tcPr>
            <w:tcW w:w="4977" w:type="dxa"/>
            <w:tcBorders>
              <w:top w:val="single" w:sz="4" w:space="0" w:color="auto"/>
              <w:left w:val="nil"/>
              <w:right w:val="nil"/>
            </w:tcBorders>
            <w:noWrap/>
            <w:tcMar>
              <w:top w:w="15" w:type="dxa"/>
              <w:left w:w="15" w:type="dxa"/>
              <w:bottom w:w="0" w:type="dxa"/>
              <w:right w:w="15" w:type="dxa"/>
            </w:tcMar>
            <w:vAlign w:val="bottom"/>
          </w:tcPr>
          <w:p w14:paraId="4A40D873"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Borders>
              <w:top w:val="single" w:sz="4" w:space="0" w:color="auto"/>
              <w:left w:val="nil"/>
              <w:right w:val="nil"/>
            </w:tcBorders>
          </w:tcPr>
          <w:p w14:paraId="34BC891F"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Borders>
              <w:top w:val="single" w:sz="4" w:space="0" w:color="auto"/>
              <w:left w:val="nil"/>
              <w:right w:val="nil"/>
            </w:tcBorders>
          </w:tcPr>
          <w:p w14:paraId="3FE53FD5"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10" w:type="dxa"/>
            <w:tcBorders>
              <w:top w:val="single" w:sz="4" w:space="0" w:color="auto"/>
              <w:left w:val="nil"/>
              <w:right w:val="nil"/>
            </w:tcBorders>
            <w:vAlign w:val="bottom"/>
          </w:tcPr>
          <w:p w14:paraId="58CE927D"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en-IE"/>
              </w:rPr>
            </w:pPr>
          </w:p>
        </w:tc>
        <w:tc>
          <w:tcPr>
            <w:tcW w:w="1115" w:type="dxa"/>
            <w:tcBorders>
              <w:top w:val="single" w:sz="4" w:space="0" w:color="auto"/>
              <w:left w:val="nil"/>
              <w:right w:val="nil"/>
            </w:tcBorders>
            <w:noWrap/>
            <w:tcMar>
              <w:top w:w="15" w:type="dxa"/>
              <w:left w:w="15" w:type="dxa"/>
              <w:bottom w:w="0" w:type="dxa"/>
              <w:right w:w="15" w:type="dxa"/>
            </w:tcMar>
            <w:vAlign w:val="bottom"/>
          </w:tcPr>
          <w:p w14:paraId="07D6A386"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en-IE"/>
              </w:rPr>
            </w:pPr>
          </w:p>
        </w:tc>
      </w:tr>
      <w:tr w:rsidR="00EE0F87" w:rsidRPr="00EE0F87" w14:paraId="27863369" w14:textId="77777777" w:rsidTr="00897EB6">
        <w:trPr>
          <w:trHeight w:val="255"/>
        </w:trPr>
        <w:tc>
          <w:tcPr>
            <w:tcW w:w="9578" w:type="dxa"/>
            <w:gridSpan w:val="5"/>
            <w:tcBorders>
              <w:left w:val="nil"/>
              <w:bottom w:val="nil"/>
              <w:right w:val="nil"/>
            </w:tcBorders>
            <w:noWrap/>
            <w:tcMar>
              <w:top w:w="15" w:type="dxa"/>
              <w:left w:w="15" w:type="dxa"/>
              <w:bottom w:w="0" w:type="dxa"/>
              <w:right w:w="15" w:type="dxa"/>
            </w:tcMar>
            <w:vAlign w:val="bottom"/>
          </w:tcPr>
          <w:p w14:paraId="0F5769E5" w14:textId="77777777" w:rsidR="00EE0F87" w:rsidRPr="00EE0F87" w:rsidRDefault="00EE0F87" w:rsidP="00EE0F87">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sz w:val="28"/>
                <w:szCs w:val="28"/>
                <w:lang w:eastAsia="en-IE"/>
              </w:rPr>
            </w:pPr>
            <w:r w:rsidRPr="00EE0F87">
              <w:rPr>
                <w:rFonts w:ascii="Times New Roman" w:eastAsia="Times New Roman" w:hAnsi="Times New Roman" w:cs="Times New Roman"/>
                <w:i/>
                <w:sz w:val="28"/>
                <w:szCs w:val="28"/>
                <w:lang w:eastAsia="en-IE"/>
              </w:rPr>
              <w:t>for the financial year ended 31 December 2022 (continued)</w:t>
            </w:r>
          </w:p>
        </w:tc>
      </w:tr>
      <w:tr w:rsidR="00EE0F87" w:rsidRPr="00EE0F87" w14:paraId="742B7DE4" w14:textId="77777777" w:rsidTr="00897EB6">
        <w:trPr>
          <w:trHeight w:val="255"/>
        </w:trPr>
        <w:tc>
          <w:tcPr>
            <w:tcW w:w="4977" w:type="dxa"/>
            <w:tcBorders>
              <w:left w:val="nil"/>
              <w:right w:val="nil"/>
            </w:tcBorders>
            <w:noWrap/>
            <w:tcMar>
              <w:top w:w="15" w:type="dxa"/>
              <w:left w:w="15" w:type="dxa"/>
              <w:bottom w:w="0" w:type="dxa"/>
              <w:right w:w="15" w:type="dxa"/>
            </w:tcMar>
            <w:vAlign w:val="bottom"/>
          </w:tcPr>
          <w:p w14:paraId="626F05FB"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Borders>
              <w:left w:val="nil"/>
              <w:right w:val="nil"/>
            </w:tcBorders>
          </w:tcPr>
          <w:p w14:paraId="584548EC"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Borders>
              <w:left w:val="nil"/>
              <w:right w:val="nil"/>
            </w:tcBorders>
          </w:tcPr>
          <w:p w14:paraId="750B5E4C"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10" w:type="dxa"/>
            <w:tcBorders>
              <w:left w:val="nil"/>
              <w:right w:val="nil"/>
            </w:tcBorders>
            <w:vAlign w:val="bottom"/>
          </w:tcPr>
          <w:p w14:paraId="502D7E46"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en-IE"/>
              </w:rPr>
            </w:pPr>
          </w:p>
        </w:tc>
        <w:tc>
          <w:tcPr>
            <w:tcW w:w="1115" w:type="dxa"/>
            <w:tcBorders>
              <w:left w:val="nil"/>
              <w:right w:val="nil"/>
            </w:tcBorders>
            <w:noWrap/>
            <w:tcMar>
              <w:top w:w="15" w:type="dxa"/>
              <w:left w:w="15" w:type="dxa"/>
              <w:bottom w:w="0" w:type="dxa"/>
              <w:right w:w="15" w:type="dxa"/>
            </w:tcMar>
            <w:vAlign w:val="bottom"/>
          </w:tcPr>
          <w:p w14:paraId="7C521639"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en-IE"/>
              </w:rPr>
            </w:pPr>
          </w:p>
        </w:tc>
      </w:tr>
      <w:tr w:rsidR="00EE0F87" w:rsidRPr="00EE0F87" w14:paraId="0A17178A" w14:textId="77777777" w:rsidTr="00897EB6">
        <w:trPr>
          <w:trHeight w:val="255"/>
        </w:trPr>
        <w:tc>
          <w:tcPr>
            <w:tcW w:w="4977" w:type="dxa"/>
            <w:tcBorders>
              <w:left w:val="nil"/>
              <w:bottom w:val="nil"/>
              <w:right w:val="nil"/>
            </w:tcBorders>
            <w:noWrap/>
            <w:tcMar>
              <w:top w:w="15" w:type="dxa"/>
              <w:left w:w="15" w:type="dxa"/>
              <w:bottom w:w="0" w:type="dxa"/>
              <w:right w:w="15" w:type="dxa"/>
            </w:tcMar>
            <w:vAlign w:val="bottom"/>
          </w:tcPr>
          <w:p w14:paraId="43899754"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Borders>
              <w:left w:val="nil"/>
              <w:bottom w:val="nil"/>
              <w:right w:val="nil"/>
            </w:tcBorders>
          </w:tcPr>
          <w:p w14:paraId="107F42F7" w14:textId="5F842191"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Borders>
              <w:left w:val="nil"/>
              <w:bottom w:val="nil"/>
              <w:right w:val="nil"/>
            </w:tcBorders>
          </w:tcPr>
          <w:p w14:paraId="7D38C236"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10" w:type="dxa"/>
            <w:tcBorders>
              <w:left w:val="nil"/>
              <w:bottom w:val="nil"/>
              <w:right w:val="nil"/>
            </w:tcBorders>
            <w:vAlign w:val="bottom"/>
          </w:tcPr>
          <w:p w14:paraId="057F9293"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en-IE"/>
              </w:rPr>
            </w:pPr>
            <w:r w:rsidRPr="00EE0F87">
              <w:rPr>
                <w:rFonts w:ascii="Times New Roman" w:eastAsia="Times New Roman" w:hAnsi="Times New Roman" w:cs="Times New Roman"/>
                <w:b/>
                <w:lang w:eastAsia="en-IE"/>
              </w:rPr>
              <w:t>2022</w:t>
            </w:r>
          </w:p>
        </w:tc>
        <w:tc>
          <w:tcPr>
            <w:tcW w:w="1115" w:type="dxa"/>
            <w:tcBorders>
              <w:left w:val="nil"/>
              <w:bottom w:val="nil"/>
              <w:right w:val="nil"/>
            </w:tcBorders>
            <w:noWrap/>
            <w:tcMar>
              <w:top w:w="15" w:type="dxa"/>
              <w:left w:w="15" w:type="dxa"/>
              <w:bottom w:w="0" w:type="dxa"/>
              <w:right w:w="15" w:type="dxa"/>
            </w:tcMar>
            <w:vAlign w:val="bottom"/>
          </w:tcPr>
          <w:p w14:paraId="0A26B5BF"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en-IE"/>
              </w:rPr>
            </w:pPr>
            <w:r w:rsidRPr="00EE0F87">
              <w:rPr>
                <w:rFonts w:ascii="Times New Roman" w:eastAsia="Times New Roman" w:hAnsi="Times New Roman" w:cs="Times New Roman"/>
                <w:lang w:eastAsia="en-IE"/>
              </w:rPr>
              <w:t>2021</w:t>
            </w:r>
          </w:p>
        </w:tc>
      </w:tr>
      <w:tr w:rsidR="00EE0F87" w:rsidRPr="00EE0F87" w14:paraId="65015065" w14:textId="77777777" w:rsidTr="00897E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32EEB09F"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Borders>
              <w:top w:val="nil"/>
              <w:left w:val="nil"/>
              <w:bottom w:val="nil"/>
              <w:right w:val="nil"/>
            </w:tcBorders>
          </w:tcPr>
          <w:p w14:paraId="09FA930A"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Borders>
              <w:top w:val="nil"/>
              <w:left w:val="nil"/>
              <w:bottom w:val="nil"/>
              <w:right w:val="nil"/>
            </w:tcBorders>
          </w:tcPr>
          <w:p w14:paraId="6CE7A0DA"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10" w:type="dxa"/>
            <w:tcBorders>
              <w:top w:val="nil"/>
              <w:left w:val="nil"/>
              <w:bottom w:val="nil"/>
              <w:right w:val="nil"/>
            </w:tcBorders>
            <w:vAlign w:val="bottom"/>
          </w:tcPr>
          <w:p w14:paraId="0D12AA35"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20187305"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en-IE"/>
              </w:rPr>
            </w:pPr>
          </w:p>
        </w:tc>
      </w:tr>
      <w:tr w:rsidR="00EE0F87" w:rsidRPr="00EE0F87" w14:paraId="6A2F1722" w14:textId="77777777" w:rsidTr="00897E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7E761AC3"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lang w:eastAsia="en-IE"/>
              </w:rPr>
            </w:pPr>
            <w:r w:rsidRPr="00EE0F87">
              <w:rPr>
                <w:rFonts w:ascii="Times New Roman" w:eastAsia="Times New Roman" w:hAnsi="Times New Roman" w:cs="Times New Roman"/>
                <w:b/>
                <w:lang w:eastAsia="en-IE"/>
              </w:rPr>
              <w:t>Earnings/(loss) per share expressed in pence per share:</w:t>
            </w:r>
          </w:p>
        </w:tc>
        <w:tc>
          <w:tcPr>
            <w:tcW w:w="1188" w:type="dxa"/>
            <w:tcBorders>
              <w:top w:val="nil"/>
              <w:left w:val="nil"/>
              <w:bottom w:val="nil"/>
              <w:right w:val="nil"/>
            </w:tcBorders>
          </w:tcPr>
          <w:p w14:paraId="13EDB682"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Borders>
              <w:top w:val="nil"/>
              <w:left w:val="nil"/>
              <w:bottom w:val="nil"/>
              <w:right w:val="nil"/>
            </w:tcBorders>
          </w:tcPr>
          <w:p w14:paraId="217F62E2"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10" w:type="dxa"/>
            <w:tcBorders>
              <w:top w:val="nil"/>
              <w:left w:val="nil"/>
              <w:bottom w:val="nil"/>
              <w:right w:val="nil"/>
            </w:tcBorders>
            <w:vAlign w:val="bottom"/>
          </w:tcPr>
          <w:p w14:paraId="2F0140C9"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5E1F19D6"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en-IE"/>
              </w:rPr>
            </w:pPr>
          </w:p>
        </w:tc>
      </w:tr>
      <w:tr w:rsidR="00EE0F87" w:rsidRPr="00EE0F87" w14:paraId="79E7867B" w14:textId="77777777" w:rsidTr="00897E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2B975EE0"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lang w:eastAsia="en-IE"/>
              </w:rPr>
              <w:t xml:space="preserve">From continuing operations </w:t>
            </w:r>
          </w:p>
          <w:p w14:paraId="691F83F3"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lang w:eastAsia="en-IE"/>
              </w:rPr>
              <w:t xml:space="preserve">- basic </w:t>
            </w:r>
          </w:p>
        </w:tc>
        <w:tc>
          <w:tcPr>
            <w:tcW w:w="1188" w:type="dxa"/>
            <w:tcBorders>
              <w:top w:val="nil"/>
              <w:left w:val="nil"/>
              <w:bottom w:val="nil"/>
              <w:right w:val="nil"/>
            </w:tcBorders>
          </w:tcPr>
          <w:p w14:paraId="7915F38A"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Borders>
              <w:top w:val="nil"/>
              <w:left w:val="nil"/>
              <w:bottom w:val="nil"/>
              <w:right w:val="nil"/>
            </w:tcBorders>
          </w:tcPr>
          <w:p w14:paraId="5A2CF569"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10" w:type="dxa"/>
            <w:tcBorders>
              <w:top w:val="nil"/>
              <w:left w:val="nil"/>
              <w:bottom w:val="nil"/>
              <w:right w:val="nil"/>
            </w:tcBorders>
            <w:vAlign w:val="bottom"/>
          </w:tcPr>
          <w:p w14:paraId="09CF95CA"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lang w:eastAsia="en-IE"/>
              </w:rPr>
              <w:t>0.5p</w:t>
            </w:r>
          </w:p>
        </w:tc>
        <w:tc>
          <w:tcPr>
            <w:tcW w:w="1115" w:type="dxa"/>
            <w:tcBorders>
              <w:top w:val="nil"/>
              <w:left w:val="nil"/>
              <w:bottom w:val="nil"/>
              <w:right w:val="nil"/>
            </w:tcBorders>
            <w:noWrap/>
            <w:tcMar>
              <w:top w:w="15" w:type="dxa"/>
              <w:left w:w="15" w:type="dxa"/>
              <w:bottom w:w="0" w:type="dxa"/>
              <w:right w:w="15" w:type="dxa"/>
            </w:tcMar>
            <w:vAlign w:val="bottom"/>
          </w:tcPr>
          <w:p w14:paraId="7BB21549"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lang w:eastAsia="en-IE"/>
              </w:rPr>
              <w:t>(3.5)p</w:t>
            </w:r>
          </w:p>
        </w:tc>
      </w:tr>
      <w:tr w:rsidR="00EE0F87" w:rsidRPr="00EE0F87" w14:paraId="0BD2166C" w14:textId="77777777" w:rsidTr="00897E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421F0B5A"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lang w:eastAsia="en-IE"/>
              </w:rPr>
              <w:t>- diluted</w:t>
            </w:r>
          </w:p>
        </w:tc>
        <w:tc>
          <w:tcPr>
            <w:tcW w:w="1188" w:type="dxa"/>
            <w:tcBorders>
              <w:top w:val="nil"/>
              <w:left w:val="nil"/>
              <w:bottom w:val="nil"/>
              <w:right w:val="nil"/>
            </w:tcBorders>
          </w:tcPr>
          <w:p w14:paraId="3C036079"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Borders>
              <w:top w:val="nil"/>
              <w:left w:val="nil"/>
              <w:bottom w:val="nil"/>
              <w:right w:val="nil"/>
            </w:tcBorders>
          </w:tcPr>
          <w:p w14:paraId="6898E78F"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10" w:type="dxa"/>
            <w:tcBorders>
              <w:top w:val="nil"/>
              <w:left w:val="nil"/>
              <w:bottom w:val="nil"/>
              <w:right w:val="nil"/>
            </w:tcBorders>
            <w:vAlign w:val="bottom"/>
          </w:tcPr>
          <w:p w14:paraId="4CF83E7A"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lang w:eastAsia="en-IE"/>
              </w:rPr>
              <w:t>0.5p</w:t>
            </w:r>
          </w:p>
        </w:tc>
        <w:tc>
          <w:tcPr>
            <w:tcW w:w="1115" w:type="dxa"/>
            <w:tcBorders>
              <w:top w:val="nil"/>
              <w:left w:val="nil"/>
              <w:bottom w:val="nil"/>
              <w:right w:val="nil"/>
            </w:tcBorders>
            <w:noWrap/>
            <w:tcMar>
              <w:top w:w="15" w:type="dxa"/>
              <w:left w:w="15" w:type="dxa"/>
              <w:bottom w:w="0" w:type="dxa"/>
              <w:right w:w="15" w:type="dxa"/>
            </w:tcMar>
            <w:vAlign w:val="bottom"/>
          </w:tcPr>
          <w:p w14:paraId="6A81ACE1"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lang w:eastAsia="en-IE"/>
              </w:rPr>
              <w:t>(3.5)p</w:t>
            </w:r>
          </w:p>
        </w:tc>
      </w:tr>
      <w:tr w:rsidR="00EE0F87" w:rsidRPr="00EE0F87" w14:paraId="37D32DED" w14:textId="77777777" w:rsidTr="00897E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15B2E92E"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Borders>
              <w:top w:val="nil"/>
              <w:left w:val="nil"/>
              <w:bottom w:val="nil"/>
              <w:right w:val="nil"/>
            </w:tcBorders>
          </w:tcPr>
          <w:p w14:paraId="0BA8492E"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Borders>
              <w:top w:val="nil"/>
              <w:left w:val="nil"/>
              <w:bottom w:val="nil"/>
              <w:right w:val="nil"/>
            </w:tcBorders>
          </w:tcPr>
          <w:p w14:paraId="520C176B"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10" w:type="dxa"/>
            <w:tcBorders>
              <w:top w:val="nil"/>
              <w:left w:val="nil"/>
              <w:bottom w:val="nil"/>
              <w:right w:val="nil"/>
            </w:tcBorders>
            <w:vAlign w:val="bottom"/>
          </w:tcPr>
          <w:p w14:paraId="34EB3612"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en-IE"/>
              </w:rPr>
            </w:pPr>
          </w:p>
        </w:tc>
        <w:tc>
          <w:tcPr>
            <w:tcW w:w="1115" w:type="dxa"/>
            <w:tcBorders>
              <w:top w:val="nil"/>
              <w:left w:val="nil"/>
              <w:bottom w:val="nil"/>
              <w:right w:val="nil"/>
            </w:tcBorders>
            <w:noWrap/>
            <w:tcMar>
              <w:top w:w="15" w:type="dxa"/>
              <w:left w:w="15" w:type="dxa"/>
              <w:bottom w:w="0" w:type="dxa"/>
              <w:right w:w="15" w:type="dxa"/>
            </w:tcMar>
            <w:vAlign w:val="bottom"/>
          </w:tcPr>
          <w:p w14:paraId="3E860DFB"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en-IE"/>
              </w:rPr>
            </w:pPr>
          </w:p>
        </w:tc>
      </w:tr>
      <w:tr w:rsidR="00EE0F87" w:rsidRPr="00EE0F87" w14:paraId="7B537460" w14:textId="77777777" w:rsidTr="00897E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3B95AB79"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Borders>
              <w:top w:val="nil"/>
              <w:left w:val="nil"/>
              <w:bottom w:val="nil"/>
              <w:right w:val="nil"/>
            </w:tcBorders>
          </w:tcPr>
          <w:p w14:paraId="77E01AA5"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Borders>
              <w:top w:val="nil"/>
              <w:left w:val="nil"/>
              <w:bottom w:val="nil"/>
              <w:right w:val="nil"/>
            </w:tcBorders>
          </w:tcPr>
          <w:p w14:paraId="6B6B160A"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10" w:type="dxa"/>
            <w:tcBorders>
              <w:top w:val="nil"/>
              <w:left w:val="nil"/>
              <w:right w:val="nil"/>
            </w:tcBorders>
            <w:vAlign w:val="bottom"/>
          </w:tcPr>
          <w:p w14:paraId="06395F45"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en-IE"/>
              </w:rPr>
            </w:pPr>
          </w:p>
        </w:tc>
        <w:tc>
          <w:tcPr>
            <w:tcW w:w="1115" w:type="dxa"/>
            <w:tcBorders>
              <w:top w:val="nil"/>
              <w:left w:val="nil"/>
              <w:right w:val="nil"/>
            </w:tcBorders>
            <w:noWrap/>
            <w:tcMar>
              <w:top w:w="15" w:type="dxa"/>
              <w:left w:w="15" w:type="dxa"/>
              <w:bottom w:w="0" w:type="dxa"/>
              <w:right w:w="15" w:type="dxa"/>
            </w:tcMar>
            <w:vAlign w:val="bottom"/>
          </w:tcPr>
          <w:p w14:paraId="62088141"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en-IE"/>
              </w:rPr>
            </w:pPr>
          </w:p>
        </w:tc>
      </w:tr>
      <w:tr w:rsidR="00EE0F87" w:rsidRPr="00EE0F87" w14:paraId="0414DCA6" w14:textId="77777777" w:rsidTr="00897E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4BA477F1"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lang w:eastAsia="en-IE"/>
              </w:rPr>
              <w:t xml:space="preserve">From discontinued operations </w:t>
            </w:r>
          </w:p>
          <w:p w14:paraId="7F9A3622"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lang w:eastAsia="en-IE"/>
              </w:rPr>
              <w:t xml:space="preserve">- basic </w:t>
            </w:r>
          </w:p>
        </w:tc>
        <w:tc>
          <w:tcPr>
            <w:tcW w:w="1188" w:type="dxa"/>
            <w:tcBorders>
              <w:top w:val="nil"/>
              <w:left w:val="nil"/>
              <w:bottom w:val="nil"/>
              <w:right w:val="nil"/>
            </w:tcBorders>
          </w:tcPr>
          <w:p w14:paraId="5A1BB188"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Borders>
              <w:top w:val="nil"/>
              <w:left w:val="nil"/>
              <w:bottom w:val="nil"/>
              <w:right w:val="nil"/>
            </w:tcBorders>
          </w:tcPr>
          <w:p w14:paraId="73769FEB"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10" w:type="dxa"/>
            <w:tcBorders>
              <w:left w:val="nil"/>
              <w:bottom w:val="nil"/>
              <w:right w:val="nil"/>
            </w:tcBorders>
            <w:vAlign w:val="bottom"/>
          </w:tcPr>
          <w:p w14:paraId="28E201B1"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lang w:eastAsia="en-IE"/>
              </w:rPr>
              <w:t>(4.7)p</w:t>
            </w:r>
          </w:p>
        </w:tc>
        <w:tc>
          <w:tcPr>
            <w:tcW w:w="1115" w:type="dxa"/>
            <w:tcBorders>
              <w:left w:val="nil"/>
              <w:bottom w:val="nil"/>
              <w:right w:val="nil"/>
            </w:tcBorders>
            <w:noWrap/>
            <w:tcMar>
              <w:top w:w="15" w:type="dxa"/>
              <w:left w:w="15" w:type="dxa"/>
              <w:bottom w:w="0" w:type="dxa"/>
              <w:right w:w="15" w:type="dxa"/>
            </w:tcMar>
            <w:vAlign w:val="bottom"/>
          </w:tcPr>
          <w:p w14:paraId="0167BEF1"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lang w:eastAsia="en-IE"/>
              </w:rPr>
              <w:t>130.1p</w:t>
            </w:r>
          </w:p>
        </w:tc>
      </w:tr>
      <w:tr w:rsidR="00EE0F87" w:rsidRPr="00EE0F87" w14:paraId="21D4FF2E" w14:textId="77777777" w:rsidTr="00897E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2F618F85"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lang w:eastAsia="en-IE"/>
              </w:rPr>
              <w:t>- diluted</w:t>
            </w:r>
          </w:p>
        </w:tc>
        <w:tc>
          <w:tcPr>
            <w:tcW w:w="1188" w:type="dxa"/>
            <w:tcBorders>
              <w:top w:val="nil"/>
              <w:left w:val="nil"/>
              <w:bottom w:val="nil"/>
              <w:right w:val="nil"/>
            </w:tcBorders>
          </w:tcPr>
          <w:p w14:paraId="4CCB9DAA"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Borders>
              <w:top w:val="nil"/>
              <w:left w:val="nil"/>
              <w:bottom w:val="nil"/>
              <w:right w:val="nil"/>
            </w:tcBorders>
          </w:tcPr>
          <w:p w14:paraId="3A6C7416"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10" w:type="dxa"/>
            <w:tcBorders>
              <w:top w:val="nil"/>
              <w:left w:val="nil"/>
              <w:bottom w:val="nil"/>
              <w:right w:val="nil"/>
            </w:tcBorders>
            <w:vAlign w:val="bottom"/>
          </w:tcPr>
          <w:p w14:paraId="6DAE52BF"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lang w:eastAsia="en-IE"/>
              </w:rPr>
              <w:t>(4.7)p</w:t>
            </w:r>
          </w:p>
        </w:tc>
        <w:tc>
          <w:tcPr>
            <w:tcW w:w="1115" w:type="dxa"/>
            <w:tcBorders>
              <w:top w:val="nil"/>
              <w:left w:val="nil"/>
              <w:bottom w:val="nil"/>
              <w:right w:val="nil"/>
            </w:tcBorders>
            <w:noWrap/>
            <w:tcMar>
              <w:top w:w="15" w:type="dxa"/>
              <w:left w:w="15" w:type="dxa"/>
              <w:bottom w:w="0" w:type="dxa"/>
              <w:right w:w="15" w:type="dxa"/>
            </w:tcMar>
            <w:vAlign w:val="bottom"/>
          </w:tcPr>
          <w:p w14:paraId="53A952A9"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lang w:eastAsia="en-IE"/>
              </w:rPr>
              <w:t>130.1p</w:t>
            </w:r>
          </w:p>
        </w:tc>
      </w:tr>
      <w:tr w:rsidR="00EE0F87" w:rsidRPr="00EE0F87" w14:paraId="67FAE3CD" w14:textId="77777777" w:rsidTr="00897EB6">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034E3CC4"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Borders>
              <w:top w:val="nil"/>
              <w:left w:val="nil"/>
              <w:bottom w:val="nil"/>
              <w:right w:val="nil"/>
            </w:tcBorders>
          </w:tcPr>
          <w:p w14:paraId="6B7DCF64"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88" w:type="dxa"/>
            <w:tcBorders>
              <w:top w:val="nil"/>
              <w:left w:val="nil"/>
              <w:bottom w:val="nil"/>
              <w:right w:val="nil"/>
            </w:tcBorders>
          </w:tcPr>
          <w:p w14:paraId="548A2544"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110" w:type="dxa"/>
            <w:tcBorders>
              <w:top w:val="nil"/>
              <w:left w:val="nil"/>
              <w:right w:val="nil"/>
            </w:tcBorders>
            <w:vAlign w:val="bottom"/>
          </w:tcPr>
          <w:p w14:paraId="52C48EDF"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en-IE"/>
              </w:rPr>
            </w:pPr>
          </w:p>
        </w:tc>
        <w:tc>
          <w:tcPr>
            <w:tcW w:w="1115" w:type="dxa"/>
            <w:tcBorders>
              <w:top w:val="nil"/>
              <w:left w:val="nil"/>
              <w:right w:val="nil"/>
            </w:tcBorders>
            <w:noWrap/>
            <w:tcMar>
              <w:top w:w="15" w:type="dxa"/>
              <w:left w:w="15" w:type="dxa"/>
              <w:bottom w:w="0" w:type="dxa"/>
              <w:right w:w="15" w:type="dxa"/>
            </w:tcMar>
            <w:vAlign w:val="bottom"/>
          </w:tcPr>
          <w:p w14:paraId="59A9F3CD"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en-IE"/>
              </w:rPr>
            </w:pPr>
          </w:p>
        </w:tc>
      </w:tr>
      <w:bookmarkEnd w:id="6"/>
    </w:tbl>
    <w:p w14:paraId="1F0211A2" w14:textId="77777777" w:rsidR="00EE0F87" w:rsidRPr="00EE0F87" w:rsidRDefault="00EE0F87" w:rsidP="00EE0F87">
      <w:pPr>
        <w:widowControl w:val="0"/>
        <w:overflowPunct w:val="0"/>
        <w:autoSpaceDE w:val="0"/>
        <w:autoSpaceDN w:val="0"/>
        <w:adjustRightInd w:val="0"/>
        <w:spacing w:after="0" w:line="240" w:lineRule="auto"/>
        <w:textAlignment w:val="baseline"/>
        <w:rPr>
          <w:rFonts w:ascii="Times" w:eastAsia="Times New Roman" w:hAnsi="Times" w:cs="Times New Roman"/>
          <w:sz w:val="36"/>
          <w:szCs w:val="20"/>
          <w:lang w:eastAsia="en-IE"/>
        </w:rPr>
      </w:pPr>
    </w:p>
    <w:p w14:paraId="2D6B2561" w14:textId="77777777" w:rsidR="00EE0F87" w:rsidRPr="00EE0F87" w:rsidRDefault="00EE0F87" w:rsidP="00EE0F87">
      <w:pPr>
        <w:widowControl w:val="0"/>
        <w:overflowPunct w:val="0"/>
        <w:autoSpaceDE w:val="0"/>
        <w:autoSpaceDN w:val="0"/>
        <w:adjustRightInd w:val="0"/>
        <w:spacing w:after="0" w:line="240" w:lineRule="auto"/>
        <w:textAlignment w:val="baseline"/>
        <w:rPr>
          <w:rFonts w:ascii="Times" w:eastAsia="Times New Roman" w:hAnsi="Times" w:cs="Times New Roman"/>
          <w:sz w:val="36"/>
          <w:szCs w:val="20"/>
          <w:lang w:eastAsia="en-IE"/>
        </w:rPr>
      </w:pPr>
    </w:p>
    <w:p w14:paraId="0285D68E" w14:textId="77777777" w:rsidR="00EE0F87" w:rsidRPr="00EE0F87" w:rsidRDefault="00EE0F87" w:rsidP="00EE0F87">
      <w:pPr>
        <w:widowControl w:val="0"/>
        <w:overflowPunct w:val="0"/>
        <w:autoSpaceDE w:val="0"/>
        <w:autoSpaceDN w:val="0"/>
        <w:adjustRightInd w:val="0"/>
        <w:spacing w:after="0" w:line="240" w:lineRule="auto"/>
        <w:textAlignment w:val="baseline"/>
        <w:rPr>
          <w:rFonts w:ascii="Times" w:eastAsia="Times New Roman" w:hAnsi="Times" w:cs="Times New Roman"/>
          <w:sz w:val="36"/>
          <w:szCs w:val="20"/>
          <w:lang w:eastAsia="en-IE"/>
        </w:rPr>
      </w:pPr>
    </w:p>
    <w:p w14:paraId="6384B0AB" w14:textId="77777777" w:rsidR="00EE0F87" w:rsidRPr="00EE0F87" w:rsidRDefault="00EE0F87" w:rsidP="00EE0F87">
      <w:pPr>
        <w:widowControl w:val="0"/>
        <w:overflowPunct w:val="0"/>
        <w:autoSpaceDE w:val="0"/>
        <w:autoSpaceDN w:val="0"/>
        <w:adjustRightInd w:val="0"/>
        <w:spacing w:after="0" w:line="240" w:lineRule="auto"/>
        <w:textAlignment w:val="baseline"/>
        <w:rPr>
          <w:rFonts w:ascii="Times" w:eastAsia="Times New Roman" w:hAnsi="Times" w:cs="Times New Roman"/>
          <w:sz w:val="36"/>
          <w:szCs w:val="20"/>
          <w:lang w:eastAsia="en-IE"/>
        </w:rPr>
      </w:pPr>
    </w:p>
    <w:p w14:paraId="747A7AF8" w14:textId="77777777" w:rsidR="00EE0F87" w:rsidRPr="00EE0F87" w:rsidRDefault="00EE0F87" w:rsidP="00EE0F87">
      <w:pPr>
        <w:widowControl w:val="0"/>
        <w:overflowPunct w:val="0"/>
        <w:autoSpaceDE w:val="0"/>
        <w:autoSpaceDN w:val="0"/>
        <w:adjustRightInd w:val="0"/>
        <w:spacing w:after="0" w:line="240" w:lineRule="auto"/>
        <w:textAlignment w:val="baseline"/>
        <w:rPr>
          <w:rFonts w:ascii="Times" w:eastAsia="Times New Roman" w:hAnsi="Times" w:cs="Times New Roman"/>
          <w:sz w:val="36"/>
          <w:szCs w:val="20"/>
          <w:lang w:eastAsia="en-IE"/>
        </w:rPr>
      </w:pPr>
    </w:p>
    <w:p w14:paraId="19CC6DB0" w14:textId="77777777" w:rsidR="00EE0F87" w:rsidRPr="00EE0F87" w:rsidRDefault="00EE0F87" w:rsidP="00EE0F87">
      <w:pPr>
        <w:widowControl w:val="0"/>
        <w:overflowPunct w:val="0"/>
        <w:autoSpaceDE w:val="0"/>
        <w:autoSpaceDN w:val="0"/>
        <w:adjustRightInd w:val="0"/>
        <w:spacing w:after="0" w:line="240" w:lineRule="auto"/>
        <w:textAlignment w:val="baseline"/>
        <w:rPr>
          <w:rFonts w:ascii="Times" w:eastAsia="Times New Roman" w:hAnsi="Times" w:cs="Times New Roman"/>
          <w:sz w:val="36"/>
          <w:szCs w:val="20"/>
          <w:lang w:eastAsia="en-IE"/>
        </w:rPr>
      </w:pPr>
    </w:p>
    <w:p w14:paraId="5298BA80" w14:textId="77777777" w:rsidR="00EE0F87" w:rsidRPr="00EE0F87" w:rsidRDefault="00EE0F87" w:rsidP="00EE0F87">
      <w:pPr>
        <w:widowControl w:val="0"/>
        <w:overflowPunct w:val="0"/>
        <w:autoSpaceDE w:val="0"/>
        <w:autoSpaceDN w:val="0"/>
        <w:adjustRightInd w:val="0"/>
        <w:spacing w:after="0" w:line="240" w:lineRule="auto"/>
        <w:textAlignment w:val="baseline"/>
        <w:rPr>
          <w:rFonts w:ascii="Times" w:eastAsia="Times New Roman" w:hAnsi="Times" w:cs="Times New Roman"/>
          <w:sz w:val="36"/>
          <w:szCs w:val="20"/>
          <w:lang w:eastAsia="en-IE"/>
        </w:rPr>
      </w:pPr>
    </w:p>
    <w:p w14:paraId="483797DE" w14:textId="77777777" w:rsidR="00EE0F87" w:rsidRPr="00EE0F87" w:rsidRDefault="00EE0F87" w:rsidP="00EE0F87">
      <w:pPr>
        <w:widowControl w:val="0"/>
        <w:overflowPunct w:val="0"/>
        <w:autoSpaceDE w:val="0"/>
        <w:autoSpaceDN w:val="0"/>
        <w:adjustRightInd w:val="0"/>
        <w:spacing w:after="0" w:line="240" w:lineRule="auto"/>
        <w:textAlignment w:val="baseline"/>
        <w:rPr>
          <w:rFonts w:ascii="Times" w:eastAsia="Times New Roman" w:hAnsi="Times" w:cs="Times New Roman"/>
          <w:sz w:val="36"/>
          <w:szCs w:val="20"/>
          <w:lang w:eastAsia="en-IE"/>
        </w:rPr>
      </w:pPr>
    </w:p>
    <w:p w14:paraId="17C9F18C" w14:textId="77777777" w:rsidR="00EE0F87" w:rsidRPr="00EE0F87" w:rsidRDefault="00EE0F87" w:rsidP="00EE0F87">
      <w:pPr>
        <w:widowControl w:val="0"/>
        <w:overflowPunct w:val="0"/>
        <w:autoSpaceDE w:val="0"/>
        <w:autoSpaceDN w:val="0"/>
        <w:adjustRightInd w:val="0"/>
        <w:spacing w:after="0" w:line="240" w:lineRule="auto"/>
        <w:textAlignment w:val="baseline"/>
        <w:rPr>
          <w:rFonts w:ascii="Times" w:eastAsia="Times New Roman" w:hAnsi="Times" w:cs="Times New Roman"/>
          <w:sz w:val="36"/>
          <w:szCs w:val="20"/>
          <w:lang w:eastAsia="en-IE"/>
        </w:rPr>
      </w:pPr>
    </w:p>
    <w:p w14:paraId="39444FCB" w14:textId="77777777" w:rsidR="00EE0F87" w:rsidRPr="00EE0F87" w:rsidRDefault="00EE0F87" w:rsidP="00EE0F87">
      <w:pPr>
        <w:widowControl w:val="0"/>
        <w:overflowPunct w:val="0"/>
        <w:autoSpaceDE w:val="0"/>
        <w:autoSpaceDN w:val="0"/>
        <w:adjustRightInd w:val="0"/>
        <w:spacing w:after="0" w:line="240" w:lineRule="auto"/>
        <w:textAlignment w:val="baseline"/>
        <w:rPr>
          <w:rFonts w:ascii="Times" w:eastAsia="Times New Roman" w:hAnsi="Times" w:cs="Times New Roman"/>
          <w:sz w:val="36"/>
          <w:szCs w:val="20"/>
          <w:lang w:eastAsia="en-IE"/>
        </w:rPr>
      </w:pPr>
    </w:p>
    <w:p w14:paraId="0CB5E09D" w14:textId="77777777" w:rsidR="00EE0F87" w:rsidRPr="00EE0F87" w:rsidRDefault="00EE0F87" w:rsidP="00EE0F87">
      <w:pPr>
        <w:spacing w:after="0" w:line="240" w:lineRule="auto"/>
        <w:textAlignment w:val="baseline"/>
        <w:rPr>
          <w:rFonts w:ascii="Times" w:eastAsia="Times New Roman" w:hAnsi="Times" w:cs="Times New Roman"/>
          <w:sz w:val="36"/>
          <w:szCs w:val="20"/>
          <w:lang w:eastAsia="en-IE"/>
        </w:rPr>
      </w:pPr>
      <w:r w:rsidRPr="00EE0F87">
        <w:rPr>
          <w:rFonts w:ascii="Times" w:eastAsia="Times New Roman" w:hAnsi="Times" w:cs="Times New Roman"/>
          <w:sz w:val="36"/>
          <w:szCs w:val="20"/>
          <w:lang w:eastAsia="en-IE"/>
        </w:rPr>
        <w:br w:type="page"/>
      </w:r>
    </w:p>
    <w:p w14:paraId="38768D8D" w14:textId="77777777" w:rsidR="00EE0F87" w:rsidRPr="00EE0F87" w:rsidRDefault="00EE0F87" w:rsidP="00EE0F87">
      <w:pPr>
        <w:pBdr>
          <w:bottom w:val="single" w:sz="8" w:space="5" w:color="000000"/>
        </w:pBdr>
        <w:suppressAutoHyphens/>
        <w:autoSpaceDE w:val="0"/>
        <w:autoSpaceDN w:val="0"/>
        <w:adjustRightInd w:val="0"/>
        <w:spacing w:after="0" w:line="288" w:lineRule="auto"/>
        <w:textAlignment w:val="center"/>
        <w:rPr>
          <w:rFonts w:ascii="Times New Roman" w:eastAsia="Times New Roman" w:hAnsi="Times New Roman" w:cs="Times New Roman"/>
          <w:b/>
          <w:bCs/>
          <w:i/>
          <w:iCs/>
          <w:caps/>
          <w:color w:val="000000"/>
          <w:sz w:val="30"/>
          <w:szCs w:val="30"/>
          <w:lang w:eastAsia="en-GB"/>
        </w:rPr>
      </w:pPr>
      <w:r w:rsidRPr="00EE0F87">
        <w:rPr>
          <w:rFonts w:ascii="Arial" w:eastAsia="Times New Roman" w:hAnsi="Arial" w:cs="Arial"/>
          <w:b/>
          <w:bCs/>
          <w:caps/>
          <w:color w:val="000000"/>
          <w:sz w:val="30"/>
          <w:szCs w:val="30"/>
          <w:lang w:eastAsia="en-GB"/>
        </w:rPr>
        <w:lastRenderedPageBreak/>
        <w:t>Consolidated Statement of financial position</w:t>
      </w:r>
    </w:p>
    <w:p w14:paraId="37211BA3" w14:textId="77777777" w:rsidR="00EE0F87" w:rsidRPr="00EE0F87" w:rsidRDefault="00EE0F87" w:rsidP="00EE0F87">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sz w:val="28"/>
          <w:szCs w:val="28"/>
          <w:lang w:eastAsia="en-IE"/>
        </w:rPr>
      </w:pPr>
      <w:r w:rsidRPr="00EE0F87">
        <w:rPr>
          <w:rFonts w:ascii="Times New Roman" w:eastAsia="Times New Roman" w:hAnsi="Times New Roman" w:cs="Times New Roman"/>
          <w:i/>
          <w:sz w:val="28"/>
          <w:szCs w:val="28"/>
          <w:lang w:eastAsia="en-IE"/>
        </w:rPr>
        <w:t>at 31 December 2022</w:t>
      </w:r>
    </w:p>
    <w:tbl>
      <w:tblPr>
        <w:tblW w:w="9414" w:type="dxa"/>
        <w:tblCellMar>
          <w:left w:w="0" w:type="dxa"/>
          <w:right w:w="0" w:type="dxa"/>
        </w:tblCellMar>
        <w:tblLook w:val="0000" w:firstRow="0" w:lastRow="0" w:firstColumn="0" w:lastColumn="0" w:noHBand="0" w:noVBand="0"/>
      </w:tblPr>
      <w:tblGrid>
        <w:gridCol w:w="5402"/>
        <w:gridCol w:w="1003"/>
        <w:gridCol w:w="1003"/>
        <w:gridCol w:w="1003"/>
        <w:gridCol w:w="1003"/>
      </w:tblGrid>
      <w:tr w:rsidR="00EE0F87" w:rsidRPr="00EE0F87" w14:paraId="18416B75" w14:textId="77777777" w:rsidTr="00897EB6">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0C2E05A6"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003" w:type="dxa"/>
            <w:tcBorders>
              <w:top w:val="nil"/>
              <w:left w:val="nil"/>
              <w:bottom w:val="nil"/>
              <w:right w:val="nil"/>
            </w:tcBorders>
          </w:tcPr>
          <w:p w14:paraId="5C9B6514"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lang w:eastAsia="en-IE"/>
              </w:rPr>
            </w:pPr>
          </w:p>
        </w:tc>
        <w:tc>
          <w:tcPr>
            <w:tcW w:w="1003" w:type="dxa"/>
            <w:tcBorders>
              <w:top w:val="nil"/>
              <w:left w:val="nil"/>
              <w:bottom w:val="nil"/>
              <w:right w:val="nil"/>
            </w:tcBorders>
          </w:tcPr>
          <w:p w14:paraId="50819DCF"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178FFD78"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lang w:eastAsia="en-IE"/>
              </w:rPr>
              <w:t>2022</w:t>
            </w:r>
          </w:p>
        </w:tc>
        <w:tc>
          <w:tcPr>
            <w:tcW w:w="1003" w:type="dxa"/>
            <w:tcBorders>
              <w:top w:val="nil"/>
              <w:left w:val="nil"/>
              <w:bottom w:val="nil"/>
              <w:right w:val="nil"/>
            </w:tcBorders>
            <w:noWrap/>
            <w:tcMar>
              <w:top w:w="15" w:type="dxa"/>
              <w:left w:w="15" w:type="dxa"/>
              <w:bottom w:w="0" w:type="dxa"/>
              <w:right w:w="15" w:type="dxa"/>
            </w:tcMar>
            <w:vAlign w:val="bottom"/>
          </w:tcPr>
          <w:p w14:paraId="09FBB452"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lang w:eastAsia="en-IE"/>
              </w:rPr>
              <w:t>2021</w:t>
            </w:r>
          </w:p>
        </w:tc>
      </w:tr>
      <w:tr w:rsidR="00EE0F87" w:rsidRPr="00EE0F87" w14:paraId="4499BCD7" w14:textId="77777777" w:rsidTr="00897EB6">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20C42DCA"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003" w:type="dxa"/>
            <w:tcBorders>
              <w:top w:val="nil"/>
              <w:left w:val="nil"/>
              <w:bottom w:val="nil"/>
              <w:right w:val="nil"/>
            </w:tcBorders>
          </w:tcPr>
          <w:p w14:paraId="211D6066"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en-IE"/>
              </w:rPr>
            </w:pPr>
          </w:p>
        </w:tc>
        <w:tc>
          <w:tcPr>
            <w:tcW w:w="1003" w:type="dxa"/>
            <w:tcBorders>
              <w:top w:val="nil"/>
              <w:left w:val="nil"/>
              <w:bottom w:val="nil"/>
              <w:right w:val="nil"/>
            </w:tcBorders>
          </w:tcPr>
          <w:p w14:paraId="7F07DD80"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en-IE"/>
              </w:rPr>
            </w:pPr>
          </w:p>
        </w:tc>
        <w:tc>
          <w:tcPr>
            <w:tcW w:w="1003" w:type="dxa"/>
            <w:tcBorders>
              <w:top w:val="nil"/>
              <w:left w:val="nil"/>
              <w:bottom w:val="nil"/>
              <w:right w:val="nil"/>
            </w:tcBorders>
            <w:noWrap/>
            <w:tcMar>
              <w:top w:w="15" w:type="dxa"/>
              <w:left w:w="15" w:type="dxa"/>
              <w:bottom w:w="0" w:type="dxa"/>
              <w:right w:w="15" w:type="dxa"/>
            </w:tcMar>
          </w:tcPr>
          <w:p w14:paraId="6BC97D65"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lang w:eastAsia="en-IE"/>
              </w:rPr>
              <w:t>£’000</w:t>
            </w:r>
          </w:p>
        </w:tc>
        <w:tc>
          <w:tcPr>
            <w:tcW w:w="1003" w:type="dxa"/>
            <w:tcBorders>
              <w:top w:val="nil"/>
              <w:left w:val="nil"/>
              <w:bottom w:val="nil"/>
              <w:right w:val="nil"/>
            </w:tcBorders>
            <w:noWrap/>
            <w:tcMar>
              <w:top w:w="15" w:type="dxa"/>
              <w:left w:w="15" w:type="dxa"/>
              <w:bottom w:w="0" w:type="dxa"/>
              <w:right w:w="15" w:type="dxa"/>
            </w:tcMar>
            <w:vAlign w:val="bottom"/>
          </w:tcPr>
          <w:p w14:paraId="2BDC7C4F"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en-IE"/>
              </w:rPr>
            </w:pPr>
            <w:r w:rsidRPr="00EE0F87">
              <w:rPr>
                <w:rFonts w:ascii="Times New Roman" w:eastAsia="Times New Roman" w:hAnsi="Times New Roman" w:cs="Times New Roman"/>
                <w:lang w:eastAsia="en-IE"/>
              </w:rPr>
              <w:t>£’000</w:t>
            </w:r>
          </w:p>
        </w:tc>
      </w:tr>
      <w:tr w:rsidR="00EE0F87" w:rsidRPr="00EE0F87" w14:paraId="200B9258" w14:textId="77777777" w:rsidTr="00897EB6">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58EE4B49"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lang w:eastAsia="en-IE"/>
              </w:rPr>
            </w:pPr>
            <w:r w:rsidRPr="00EE0F87">
              <w:rPr>
                <w:rFonts w:ascii="Times New Roman" w:eastAsia="Times New Roman" w:hAnsi="Times New Roman" w:cs="Times New Roman"/>
                <w:b/>
                <w:bCs/>
                <w:sz w:val="20"/>
                <w:szCs w:val="20"/>
                <w:lang w:eastAsia="en-IE"/>
              </w:rPr>
              <w:t>Non-current assets</w:t>
            </w:r>
          </w:p>
        </w:tc>
        <w:tc>
          <w:tcPr>
            <w:tcW w:w="1003" w:type="dxa"/>
            <w:tcBorders>
              <w:top w:val="nil"/>
              <w:left w:val="nil"/>
              <w:bottom w:val="nil"/>
              <w:right w:val="nil"/>
            </w:tcBorders>
          </w:tcPr>
          <w:p w14:paraId="48CB1ECA"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en-IE"/>
              </w:rPr>
            </w:pPr>
          </w:p>
        </w:tc>
        <w:tc>
          <w:tcPr>
            <w:tcW w:w="1003" w:type="dxa"/>
            <w:tcBorders>
              <w:top w:val="nil"/>
              <w:left w:val="nil"/>
              <w:bottom w:val="nil"/>
              <w:right w:val="nil"/>
            </w:tcBorders>
          </w:tcPr>
          <w:p w14:paraId="3368FB1C"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5D761ED6"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1789E464"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r>
      <w:tr w:rsidR="00EE0F87" w:rsidRPr="00EE0F87" w14:paraId="015C9F6D" w14:textId="77777777" w:rsidTr="00897EB6">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76F9EE6A"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Goodwill</w:t>
            </w:r>
          </w:p>
        </w:tc>
        <w:tc>
          <w:tcPr>
            <w:tcW w:w="1003" w:type="dxa"/>
            <w:tcBorders>
              <w:top w:val="nil"/>
              <w:left w:val="nil"/>
              <w:bottom w:val="nil"/>
              <w:right w:val="nil"/>
            </w:tcBorders>
          </w:tcPr>
          <w:p w14:paraId="6D3C5E67"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003" w:type="dxa"/>
            <w:tcBorders>
              <w:top w:val="nil"/>
              <w:left w:val="nil"/>
              <w:bottom w:val="nil"/>
              <w:right w:val="nil"/>
            </w:tcBorders>
          </w:tcPr>
          <w:p w14:paraId="3FFE8609"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2268E169"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sz w:val="20"/>
                <w:szCs w:val="20"/>
                <w:lang w:eastAsia="en-IE"/>
              </w:rPr>
              <w:t>2,338</w:t>
            </w:r>
          </w:p>
        </w:tc>
        <w:tc>
          <w:tcPr>
            <w:tcW w:w="1003" w:type="dxa"/>
            <w:tcBorders>
              <w:top w:val="nil"/>
              <w:left w:val="nil"/>
              <w:bottom w:val="nil"/>
              <w:right w:val="nil"/>
            </w:tcBorders>
            <w:noWrap/>
            <w:tcMar>
              <w:top w:w="15" w:type="dxa"/>
              <w:left w:w="15" w:type="dxa"/>
              <w:bottom w:w="0" w:type="dxa"/>
              <w:right w:w="15" w:type="dxa"/>
            </w:tcMar>
            <w:vAlign w:val="bottom"/>
          </w:tcPr>
          <w:p w14:paraId="2C9C4054"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2,338</w:t>
            </w:r>
          </w:p>
        </w:tc>
      </w:tr>
      <w:tr w:rsidR="00EE0F87" w:rsidRPr="00EE0F87" w14:paraId="10C13D11" w14:textId="77777777" w:rsidTr="00897EB6">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595CC1F5"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Intangible assets</w:t>
            </w:r>
          </w:p>
        </w:tc>
        <w:tc>
          <w:tcPr>
            <w:tcW w:w="1003" w:type="dxa"/>
            <w:tcBorders>
              <w:top w:val="nil"/>
              <w:left w:val="nil"/>
              <w:bottom w:val="nil"/>
              <w:right w:val="nil"/>
            </w:tcBorders>
          </w:tcPr>
          <w:p w14:paraId="5689B809"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003" w:type="dxa"/>
            <w:tcBorders>
              <w:top w:val="nil"/>
              <w:left w:val="nil"/>
              <w:bottom w:val="nil"/>
              <w:right w:val="nil"/>
            </w:tcBorders>
          </w:tcPr>
          <w:p w14:paraId="7C660303"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708E90CF"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sz w:val="20"/>
                <w:szCs w:val="20"/>
                <w:lang w:eastAsia="en-IE"/>
              </w:rPr>
              <w:t>-</w:t>
            </w:r>
          </w:p>
        </w:tc>
        <w:tc>
          <w:tcPr>
            <w:tcW w:w="1003" w:type="dxa"/>
            <w:tcBorders>
              <w:top w:val="nil"/>
              <w:left w:val="nil"/>
              <w:bottom w:val="nil"/>
              <w:right w:val="nil"/>
            </w:tcBorders>
            <w:noWrap/>
            <w:tcMar>
              <w:top w:w="15" w:type="dxa"/>
              <w:left w:w="15" w:type="dxa"/>
              <w:bottom w:w="0" w:type="dxa"/>
              <w:right w:w="15" w:type="dxa"/>
            </w:tcMar>
            <w:vAlign w:val="bottom"/>
          </w:tcPr>
          <w:p w14:paraId="285645D1"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665</w:t>
            </w:r>
          </w:p>
        </w:tc>
      </w:tr>
      <w:tr w:rsidR="00EE0F87" w:rsidRPr="00EE0F87" w14:paraId="7E3B17E0" w14:textId="77777777" w:rsidTr="00897EB6">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60507C5B"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Property, plant and equipment</w:t>
            </w:r>
          </w:p>
        </w:tc>
        <w:tc>
          <w:tcPr>
            <w:tcW w:w="1003" w:type="dxa"/>
            <w:tcBorders>
              <w:top w:val="nil"/>
              <w:left w:val="nil"/>
              <w:bottom w:val="nil"/>
              <w:right w:val="nil"/>
            </w:tcBorders>
          </w:tcPr>
          <w:p w14:paraId="0ABF9E55"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003" w:type="dxa"/>
            <w:tcBorders>
              <w:top w:val="nil"/>
              <w:left w:val="nil"/>
              <w:bottom w:val="nil"/>
              <w:right w:val="nil"/>
            </w:tcBorders>
          </w:tcPr>
          <w:p w14:paraId="7429CC3D"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028D2432"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sz w:val="20"/>
                <w:szCs w:val="20"/>
                <w:lang w:eastAsia="en-IE"/>
              </w:rPr>
              <w:t>2,162</w:t>
            </w:r>
          </w:p>
        </w:tc>
        <w:tc>
          <w:tcPr>
            <w:tcW w:w="1003" w:type="dxa"/>
            <w:tcBorders>
              <w:top w:val="nil"/>
              <w:left w:val="nil"/>
              <w:bottom w:val="nil"/>
              <w:right w:val="nil"/>
            </w:tcBorders>
            <w:noWrap/>
            <w:tcMar>
              <w:top w:w="15" w:type="dxa"/>
              <w:left w:w="15" w:type="dxa"/>
              <w:bottom w:w="0" w:type="dxa"/>
              <w:right w:w="15" w:type="dxa"/>
            </w:tcMar>
            <w:vAlign w:val="bottom"/>
          </w:tcPr>
          <w:p w14:paraId="7BB23228"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2,014</w:t>
            </w:r>
          </w:p>
        </w:tc>
      </w:tr>
      <w:tr w:rsidR="00EE0F87" w:rsidRPr="00EE0F87" w14:paraId="7ECB3667" w14:textId="77777777" w:rsidTr="00897EB6">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3C0FDA25"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Biological assets</w:t>
            </w:r>
          </w:p>
        </w:tc>
        <w:tc>
          <w:tcPr>
            <w:tcW w:w="1003" w:type="dxa"/>
            <w:tcBorders>
              <w:top w:val="nil"/>
              <w:left w:val="nil"/>
              <w:bottom w:val="nil"/>
              <w:right w:val="nil"/>
            </w:tcBorders>
          </w:tcPr>
          <w:p w14:paraId="47309B54"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003" w:type="dxa"/>
            <w:tcBorders>
              <w:top w:val="nil"/>
              <w:left w:val="nil"/>
              <w:bottom w:val="nil"/>
              <w:right w:val="nil"/>
            </w:tcBorders>
          </w:tcPr>
          <w:p w14:paraId="2EC3AFD9"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243DD281"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sz w:val="20"/>
                <w:szCs w:val="20"/>
                <w:lang w:eastAsia="en-IE"/>
              </w:rPr>
              <w:t>884</w:t>
            </w:r>
          </w:p>
        </w:tc>
        <w:tc>
          <w:tcPr>
            <w:tcW w:w="1003" w:type="dxa"/>
            <w:tcBorders>
              <w:top w:val="nil"/>
              <w:left w:val="nil"/>
              <w:bottom w:val="nil"/>
              <w:right w:val="nil"/>
            </w:tcBorders>
            <w:noWrap/>
            <w:tcMar>
              <w:top w:w="15" w:type="dxa"/>
              <w:left w:w="15" w:type="dxa"/>
              <w:bottom w:w="0" w:type="dxa"/>
              <w:right w:w="15" w:type="dxa"/>
            </w:tcMar>
            <w:vAlign w:val="bottom"/>
          </w:tcPr>
          <w:p w14:paraId="72C15AF4"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762</w:t>
            </w:r>
          </w:p>
        </w:tc>
      </w:tr>
      <w:tr w:rsidR="00EE0F87" w:rsidRPr="00EE0F87" w14:paraId="0DC68FFA" w14:textId="77777777" w:rsidTr="00897EB6">
        <w:trPr>
          <w:trHeight w:val="130"/>
        </w:trPr>
        <w:tc>
          <w:tcPr>
            <w:tcW w:w="5402" w:type="dxa"/>
            <w:tcBorders>
              <w:top w:val="nil"/>
              <w:left w:val="nil"/>
              <w:bottom w:val="nil"/>
              <w:right w:val="nil"/>
            </w:tcBorders>
            <w:noWrap/>
            <w:tcMar>
              <w:top w:w="15" w:type="dxa"/>
              <w:left w:w="15" w:type="dxa"/>
              <w:bottom w:w="0" w:type="dxa"/>
              <w:right w:w="15" w:type="dxa"/>
            </w:tcMar>
            <w:vAlign w:val="bottom"/>
          </w:tcPr>
          <w:p w14:paraId="54F2FFAF"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003" w:type="dxa"/>
            <w:tcBorders>
              <w:left w:val="nil"/>
              <w:right w:val="nil"/>
            </w:tcBorders>
          </w:tcPr>
          <w:p w14:paraId="0947B691"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003" w:type="dxa"/>
            <w:tcBorders>
              <w:left w:val="nil"/>
              <w:right w:val="nil"/>
            </w:tcBorders>
          </w:tcPr>
          <w:p w14:paraId="1F3391EC"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1871DBE2"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sz w:val="20"/>
                <w:szCs w:val="20"/>
                <w:lang w:eastAsia="en-IE"/>
              </w:rPr>
              <w:t>5,384</w:t>
            </w: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630D3C13"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5,779</w:t>
            </w:r>
          </w:p>
        </w:tc>
      </w:tr>
      <w:tr w:rsidR="00EE0F87" w:rsidRPr="00EE0F87" w14:paraId="208A8355" w14:textId="77777777" w:rsidTr="00897EB6">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158E32F4"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lang w:eastAsia="en-IE"/>
              </w:rPr>
            </w:pPr>
            <w:r w:rsidRPr="00EE0F87">
              <w:rPr>
                <w:rFonts w:ascii="Times New Roman" w:eastAsia="Times New Roman" w:hAnsi="Times New Roman" w:cs="Times New Roman"/>
                <w:b/>
                <w:bCs/>
                <w:sz w:val="20"/>
                <w:szCs w:val="20"/>
                <w:lang w:eastAsia="en-IE"/>
              </w:rPr>
              <w:t>Current assets</w:t>
            </w:r>
          </w:p>
        </w:tc>
        <w:tc>
          <w:tcPr>
            <w:tcW w:w="1003" w:type="dxa"/>
            <w:tcBorders>
              <w:top w:val="nil"/>
              <w:left w:val="nil"/>
              <w:bottom w:val="nil"/>
              <w:right w:val="nil"/>
            </w:tcBorders>
          </w:tcPr>
          <w:p w14:paraId="0B4578E9"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003" w:type="dxa"/>
            <w:tcBorders>
              <w:top w:val="nil"/>
              <w:left w:val="nil"/>
              <w:bottom w:val="nil"/>
              <w:right w:val="nil"/>
            </w:tcBorders>
          </w:tcPr>
          <w:p w14:paraId="033C33F4"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37A1B8AF"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5236EF63"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r>
      <w:tr w:rsidR="00EE0F87" w:rsidRPr="00EE0F87" w14:paraId="5E386F71" w14:textId="77777777" w:rsidTr="00897EB6">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7CDD0999"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Trade and other receivables</w:t>
            </w:r>
          </w:p>
        </w:tc>
        <w:tc>
          <w:tcPr>
            <w:tcW w:w="1003" w:type="dxa"/>
            <w:tcBorders>
              <w:top w:val="nil"/>
              <w:left w:val="nil"/>
              <w:bottom w:val="nil"/>
              <w:right w:val="nil"/>
            </w:tcBorders>
          </w:tcPr>
          <w:p w14:paraId="46C63BDA"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003" w:type="dxa"/>
            <w:tcBorders>
              <w:top w:val="nil"/>
              <w:left w:val="nil"/>
              <w:bottom w:val="nil"/>
              <w:right w:val="nil"/>
            </w:tcBorders>
          </w:tcPr>
          <w:p w14:paraId="3DF2EB0B"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2B2FDE76"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sz w:val="20"/>
                <w:szCs w:val="20"/>
                <w:lang w:eastAsia="en-IE"/>
              </w:rPr>
              <w:t>7,223</w:t>
            </w:r>
          </w:p>
        </w:tc>
        <w:tc>
          <w:tcPr>
            <w:tcW w:w="1003" w:type="dxa"/>
            <w:tcBorders>
              <w:top w:val="nil"/>
              <w:left w:val="nil"/>
              <w:bottom w:val="nil"/>
              <w:right w:val="nil"/>
            </w:tcBorders>
            <w:noWrap/>
            <w:tcMar>
              <w:top w:w="15" w:type="dxa"/>
              <w:left w:w="15" w:type="dxa"/>
              <w:bottom w:w="0" w:type="dxa"/>
              <w:right w:w="15" w:type="dxa"/>
            </w:tcMar>
            <w:vAlign w:val="bottom"/>
          </w:tcPr>
          <w:p w14:paraId="66762A0F"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3,988</w:t>
            </w:r>
          </w:p>
        </w:tc>
      </w:tr>
      <w:tr w:rsidR="00EE0F87" w:rsidRPr="00EE0F87" w14:paraId="63BFFC05" w14:textId="77777777" w:rsidTr="00897EB6">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361834C4"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Inventories</w:t>
            </w:r>
          </w:p>
        </w:tc>
        <w:tc>
          <w:tcPr>
            <w:tcW w:w="1003" w:type="dxa"/>
            <w:tcBorders>
              <w:top w:val="nil"/>
              <w:left w:val="nil"/>
              <w:bottom w:val="nil"/>
              <w:right w:val="nil"/>
            </w:tcBorders>
          </w:tcPr>
          <w:p w14:paraId="59AD2090"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003" w:type="dxa"/>
            <w:tcBorders>
              <w:top w:val="nil"/>
              <w:left w:val="nil"/>
              <w:bottom w:val="nil"/>
              <w:right w:val="nil"/>
            </w:tcBorders>
          </w:tcPr>
          <w:p w14:paraId="61C71A96"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2E53EA60"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sz w:val="20"/>
                <w:szCs w:val="20"/>
                <w:lang w:eastAsia="en-IE"/>
              </w:rPr>
              <w:t>316</w:t>
            </w:r>
          </w:p>
        </w:tc>
        <w:tc>
          <w:tcPr>
            <w:tcW w:w="1003" w:type="dxa"/>
            <w:tcBorders>
              <w:top w:val="nil"/>
              <w:left w:val="nil"/>
              <w:bottom w:val="nil"/>
              <w:right w:val="nil"/>
            </w:tcBorders>
            <w:noWrap/>
            <w:tcMar>
              <w:top w:w="15" w:type="dxa"/>
              <w:left w:w="15" w:type="dxa"/>
              <w:bottom w:w="0" w:type="dxa"/>
              <w:right w:w="15" w:type="dxa"/>
            </w:tcMar>
            <w:vAlign w:val="bottom"/>
          </w:tcPr>
          <w:p w14:paraId="64531E58"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97</w:t>
            </w:r>
          </w:p>
        </w:tc>
      </w:tr>
      <w:tr w:rsidR="00EE0F87" w:rsidRPr="00EE0F87" w14:paraId="452AFCA3" w14:textId="77777777" w:rsidTr="00897EB6">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573434CA"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Cash and cash equivalents</w:t>
            </w:r>
          </w:p>
        </w:tc>
        <w:tc>
          <w:tcPr>
            <w:tcW w:w="1003" w:type="dxa"/>
            <w:tcBorders>
              <w:top w:val="nil"/>
              <w:left w:val="nil"/>
              <w:bottom w:val="nil"/>
              <w:right w:val="nil"/>
            </w:tcBorders>
          </w:tcPr>
          <w:p w14:paraId="08DA1595"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003" w:type="dxa"/>
            <w:tcBorders>
              <w:top w:val="nil"/>
              <w:left w:val="nil"/>
              <w:bottom w:val="nil"/>
              <w:right w:val="nil"/>
            </w:tcBorders>
          </w:tcPr>
          <w:p w14:paraId="317AB3B2"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4B4C80D7"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sz w:val="20"/>
                <w:szCs w:val="20"/>
                <w:lang w:eastAsia="en-IE"/>
              </w:rPr>
              <w:t>1,491</w:t>
            </w:r>
          </w:p>
        </w:tc>
        <w:tc>
          <w:tcPr>
            <w:tcW w:w="1003" w:type="dxa"/>
            <w:tcBorders>
              <w:top w:val="nil"/>
              <w:left w:val="nil"/>
              <w:bottom w:val="nil"/>
              <w:right w:val="nil"/>
            </w:tcBorders>
            <w:noWrap/>
            <w:tcMar>
              <w:top w:w="15" w:type="dxa"/>
              <w:left w:w="15" w:type="dxa"/>
              <w:bottom w:w="0" w:type="dxa"/>
              <w:right w:w="15" w:type="dxa"/>
            </w:tcMar>
            <w:vAlign w:val="bottom"/>
          </w:tcPr>
          <w:p w14:paraId="50F79564"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4,543</w:t>
            </w:r>
          </w:p>
        </w:tc>
      </w:tr>
      <w:tr w:rsidR="00EE0F87" w:rsidRPr="00EE0F87" w14:paraId="1C19E6B9" w14:textId="77777777" w:rsidTr="00897EB6">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1D2AD4DB"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en-IE"/>
              </w:rPr>
            </w:pPr>
          </w:p>
        </w:tc>
        <w:tc>
          <w:tcPr>
            <w:tcW w:w="1003" w:type="dxa"/>
            <w:tcBorders>
              <w:left w:val="nil"/>
              <w:right w:val="nil"/>
            </w:tcBorders>
          </w:tcPr>
          <w:p w14:paraId="0F348EA8"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003" w:type="dxa"/>
            <w:tcBorders>
              <w:left w:val="nil"/>
              <w:right w:val="nil"/>
            </w:tcBorders>
          </w:tcPr>
          <w:p w14:paraId="6E51863D"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4897CFBD"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sz w:val="20"/>
                <w:szCs w:val="20"/>
                <w:lang w:eastAsia="en-IE"/>
              </w:rPr>
              <w:t>9,030</w:t>
            </w: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03096FFD"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8,628</w:t>
            </w:r>
          </w:p>
        </w:tc>
      </w:tr>
      <w:tr w:rsidR="00EE0F87" w:rsidRPr="00EE0F87" w14:paraId="32886445" w14:textId="77777777" w:rsidTr="00897EB6">
        <w:trPr>
          <w:trHeight w:val="186"/>
        </w:trPr>
        <w:tc>
          <w:tcPr>
            <w:tcW w:w="5402" w:type="dxa"/>
            <w:tcBorders>
              <w:top w:val="nil"/>
              <w:left w:val="nil"/>
              <w:bottom w:val="nil"/>
              <w:right w:val="nil"/>
            </w:tcBorders>
            <w:noWrap/>
            <w:tcMar>
              <w:top w:w="15" w:type="dxa"/>
              <w:left w:w="15" w:type="dxa"/>
              <w:bottom w:w="0" w:type="dxa"/>
              <w:right w:w="15" w:type="dxa"/>
            </w:tcMar>
            <w:vAlign w:val="bottom"/>
          </w:tcPr>
          <w:p w14:paraId="28B50853"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en-IE"/>
              </w:rPr>
            </w:pPr>
          </w:p>
        </w:tc>
        <w:tc>
          <w:tcPr>
            <w:tcW w:w="1003" w:type="dxa"/>
            <w:tcBorders>
              <w:left w:val="nil"/>
              <w:right w:val="nil"/>
            </w:tcBorders>
          </w:tcPr>
          <w:p w14:paraId="440D1CB6"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003" w:type="dxa"/>
            <w:tcBorders>
              <w:left w:val="nil"/>
              <w:right w:val="nil"/>
            </w:tcBorders>
          </w:tcPr>
          <w:p w14:paraId="461353AC"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en-IE"/>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6E7DDA5A"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en-IE"/>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6D2EABF9"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en-IE"/>
              </w:rPr>
            </w:pPr>
          </w:p>
        </w:tc>
      </w:tr>
      <w:tr w:rsidR="00EE0F87" w:rsidRPr="00EE0F87" w14:paraId="58C06B41" w14:textId="77777777" w:rsidTr="00897EB6">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357B8BCD"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sz w:val="20"/>
                <w:szCs w:val="20"/>
                <w:lang w:eastAsia="en-IE"/>
              </w:rPr>
              <w:t>TOTAL ASSETS</w:t>
            </w:r>
          </w:p>
        </w:tc>
        <w:tc>
          <w:tcPr>
            <w:tcW w:w="1003" w:type="dxa"/>
            <w:tcBorders>
              <w:left w:val="nil"/>
              <w:right w:val="nil"/>
            </w:tcBorders>
          </w:tcPr>
          <w:p w14:paraId="5FAEFE0E"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003" w:type="dxa"/>
            <w:tcBorders>
              <w:left w:val="nil"/>
              <w:right w:val="nil"/>
            </w:tcBorders>
          </w:tcPr>
          <w:p w14:paraId="57553CF8"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7C10E6C8"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sz w:val="20"/>
                <w:szCs w:val="20"/>
                <w:lang w:eastAsia="en-IE"/>
              </w:rPr>
              <w:t>14,414</w:t>
            </w: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2F728E0E"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14,407</w:t>
            </w:r>
          </w:p>
        </w:tc>
      </w:tr>
      <w:tr w:rsidR="00EE0F87" w:rsidRPr="00EE0F87" w14:paraId="60E8BA39" w14:textId="77777777" w:rsidTr="00897EB6">
        <w:trPr>
          <w:trHeight w:val="142"/>
        </w:trPr>
        <w:tc>
          <w:tcPr>
            <w:tcW w:w="5402" w:type="dxa"/>
            <w:tcBorders>
              <w:top w:val="nil"/>
              <w:left w:val="nil"/>
              <w:bottom w:val="nil"/>
              <w:right w:val="nil"/>
            </w:tcBorders>
            <w:noWrap/>
            <w:tcMar>
              <w:top w:w="15" w:type="dxa"/>
              <w:left w:w="15" w:type="dxa"/>
              <w:bottom w:w="0" w:type="dxa"/>
              <w:right w:w="15" w:type="dxa"/>
            </w:tcMar>
            <w:vAlign w:val="bottom"/>
          </w:tcPr>
          <w:p w14:paraId="68DF70FB"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en-IE"/>
              </w:rPr>
            </w:pPr>
          </w:p>
        </w:tc>
        <w:tc>
          <w:tcPr>
            <w:tcW w:w="1003" w:type="dxa"/>
            <w:tcBorders>
              <w:left w:val="nil"/>
              <w:right w:val="nil"/>
            </w:tcBorders>
          </w:tcPr>
          <w:p w14:paraId="5EFE3B40"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lang w:eastAsia="en-IE"/>
              </w:rPr>
            </w:pPr>
          </w:p>
        </w:tc>
        <w:tc>
          <w:tcPr>
            <w:tcW w:w="1003" w:type="dxa"/>
            <w:tcBorders>
              <w:left w:val="nil"/>
              <w:right w:val="nil"/>
            </w:tcBorders>
          </w:tcPr>
          <w:p w14:paraId="5A33FFEF"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en-IE"/>
              </w:rPr>
            </w:pPr>
          </w:p>
        </w:tc>
        <w:tc>
          <w:tcPr>
            <w:tcW w:w="1003" w:type="dxa"/>
            <w:tcBorders>
              <w:top w:val="single" w:sz="4" w:space="0" w:color="auto"/>
              <w:left w:val="nil"/>
              <w:right w:val="nil"/>
            </w:tcBorders>
            <w:noWrap/>
            <w:tcMar>
              <w:top w:w="15" w:type="dxa"/>
              <w:left w:w="15" w:type="dxa"/>
              <w:bottom w:w="0" w:type="dxa"/>
              <w:right w:w="15" w:type="dxa"/>
            </w:tcMar>
            <w:vAlign w:val="bottom"/>
          </w:tcPr>
          <w:p w14:paraId="17EE4D11"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en-IE"/>
              </w:rPr>
            </w:pPr>
          </w:p>
        </w:tc>
        <w:tc>
          <w:tcPr>
            <w:tcW w:w="1003" w:type="dxa"/>
            <w:tcBorders>
              <w:top w:val="single" w:sz="4" w:space="0" w:color="auto"/>
              <w:left w:val="nil"/>
              <w:right w:val="nil"/>
            </w:tcBorders>
            <w:noWrap/>
            <w:tcMar>
              <w:top w:w="15" w:type="dxa"/>
              <w:left w:w="15" w:type="dxa"/>
              <w:bottom w:w="0" w:type="dxa"/>
              <w:right w:w="15" w:type="dxa"/>
            </w:tcMar>
            <w:vAlign w:val="bottom"/>
          </w:tcPr>
          <w:p w14:paraId="2C0F4577"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en-IE"/>
              </w:rPr>
            </w:pPr>
          </w:p>
        </w:tc>
      </w:tr>
      <w:tr w:rsidR="00EE0F87" w:rsidRPr="00EE0F87" w14:paraId="5FA3DDF4" w14:textId="77777777" w:rsidTr="00897EB6">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5B3D0E4C"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sz w:val="20"/>
                <w:szCs w:val="20"/>
                <w:lang w:eastAsia="en-IE"/>
              </w:rPr>
              <w:t>Equity attributable to owners of the parent</w:t>
            </w:r>
          </w:p>
        </w:tc>
        <w:tc>
          <w:tcPr>
            <w:tcW w:w="1003" w:type="dxa"/>
            <w:tcBorders>
              <w:left w:val="nil"/>
              <w:right w:val="nil"/>
            </w:tcBorders>
          </w:tcPr>
          <w:p w14:paraId="505A6189"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003" w:type="dxa"/>
            <w:tcBorders>
              <w:left w:val="nil"/>
              <w:right w:val="nil"/>
            </w:tcBorders>
          </w:tcPr>
          <w:p w14:paraId="365C9C23"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p>
        </w:tc>
        <w:tc>
          <w:tcPr>
            <w:tcW w:w="1003" w:type="dxa"/>
            <w:tcBorders>
              <w:left w:val="nil"/>
              <w:right w:val="nil"/>
            </w:tcBorders>
            <w:noWrap/>
            <w:tcMar>
              <w:top w:w="15" w:type="dxa"/>
              <w:left w:w="15" w:type="dxa"/>
              <w:bottom w:w="0" w:type="dxa"/>
              <w:right w:w="15" w:type="dxa"/>
            </w:tcMar>
            <w:vAlign w:val="bottom"/>
          </w:tcPr>
          <w:p w14:paraId="19DEBC9D"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p>
        </w:tc>
        <w:tc>
          <w:tcPr>
            <w:tcW w:w="1003" w:type="dxa"/>
            <w:tcBorders>
              <w:left w:val="nil"/>
              <w:right w:val="nil"/>
            </w:tcBorders>
            <w:noWrap/>
            <w:tcMar>
              <w:top w:w="15" w:type="dxa"/>
              <w:left w:w="15" w:type="dxa"/>
              <w:bottom w:w="0" w:type="dxa"/>
              <w:right w:w="15" w:type="dxa"/>
            </w:tcMar>
            <w:vAlign w:val="bottom"/>
          </w:tcPr>
          <w:p w14:paraId="10F69AF8"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p>
        </w:tc>
      </w:tr>
      <w:tr w:rsidR="00EE0F87" w:rsidRPr="00EE0F87" w14:paraId="19E30B2A" w14:textId="77777777" w:rsidTr="00897EB6">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2C86CCE2"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Share capital</w:t>
            </w:r>
          </w:p>
        </w:tc>
        <w:tc>
          <w:tcPr>
            <w:tcW w:w="1003" w:type="dxa"/>
            <w:tcBorders>
              <w:left w:val="nil"/>
              <w:right w:val="nil"/>
            </w:tcBorders>
          </w:tcPr>
          <w:p w14:paraId="4A6EBB83"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003" w:type="dxa"/>
            <w:tcBorders>
              <w:left w:val="nil"/>
              <w:right w:val="nil"/>
            </w:tcBorders>
          </w:tcPr>
          <w:p w14:paraId="151C8063"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p>
        </w:tc>
        <w:tc>
          <w:tcPr>
            <w:tcW w:w="1003" w:type="dxa"/>
            <w:tcBorders>
              <w:left w:val="nil"/>
              <w:right w:val="nil"/>
            </w:tcBorders>
            <w:noWrap/>
            <w:tcMar>
              <w:top w:w="15" w:type="dxa"/>
              <w:left w:w="15" w:type="dxa"/>
              <w:bottom w:w="0" w:type="dxa"/>
              <w:right w:w="15" w:type="dxa"/>
            </w:tcMar>
            <w:vAlign w:val="bottom"/>
          </w:tcPr>
          <w:p w14:paraId="017609BF"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sz w:val="20"/>
                <w:szCs w:val="20"/>
                <w:lang w:eastAsia="en-IE"/>
              </w:rPr>
              <w:t>564</w:t>
            </w:r>
          </w:p>
        </w:tc>
        <w:tc>
          <w:tcPr>
            <w:tcW w:w="1003" w:type="dxa"/>
            <w:tcBorders>
              <w:left w:val="nil"/>
              <w:right w:val="nil"/>
            </w:tcBorders>
            <w:noWrap/>
            <w:tcMar>
              <w:top w:w="15" w:type="dxa"/>
              <w:left w:w="15" w:type="dxa"/>
              <w:bottom w:w="0" w:type="dxa"/>
              <w:right w:w="15" w:type="dxa"/>
            </w:tcMar>
            <w:vAlign w:val="bottom"/>
          </w:tcPr>
          <w:p w14:paraId="28608535"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564</w:t>
            </w:r>
          </w:p>
        </w:tc>
      </w:tr>
      <w:tr w:rsidR="00EE0F87" w:rsidRPr="00EE0F87" w14:paraId="74F1E9EB" w14:textId="77777777" w:rsidTr="00897EB6">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362FFF1F"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 xml:space="preserve">Share premium account </w:t>
            </w:r>
          </w:p>
        </w:tc>
        <w:tc>
          <w:tcPr>
            <w:tcW w:w="1003" w:type="dxa"/>
            <w:tcBorders>
              <w:left w:val="nil"/>
              <w:right w:val="nil"/>
            </w:tcBorders>
          </w:tcPr>
          <w:p w14:paraId="6A5B1493"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003" w:type="dxa"/>
            <w:tcBorders>
              <w:left w:val="nil"/>
              <w:right w:val="nil"/>
            </w:tcBorders>
          </w:tcPr>
          <w:p w14:paraId="43313880"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p>
        </w:tc>
        <w:tc>
          <w:tcPr>
            <w:tcW w:w="1003" w:type="dxa"/>
            <w:tcBorders>
              <w:left w:val="nil"/>
              <w:right w:val="nil"/>
            </w:tcBorders>
            <w:noWrap/>
            <w:tcMar>
              <w:top w:w="15" w:type="dxa"/>
              <w:left w:w="15" w:type="dxa"/>
              <w:bottom w:w="0" w:type="dxa"/>
              <w:right w:w="15" w:type="dxa"/>
            </w:tcMar>
            <w:vAlign w:val="bottom"/>
          </w:tcPr>
          <w:p w14:paraId="52514BF5"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sz w:val="20"/>
                <w:szCs w:val="20"/>
                <w:lang w:eastAsia="en-IE"/>
              </w:rPr>
              <w:t>-</w:t>
            </w:r>
          </w:p>
        </w:tc>
        <w:tc>
          <w:tcPr>
            <w:tcW w:w="1003" w:type="dxa"/>
            <w:tcBorders>
              <w:left w:val="nil"/>
              <w:right w:val="nil"/>
            </w:tcBorders>
            <w:noWrap/>
            <w:tcMar>
              <w:top w:w="15" w:type="dxa"/>
              <w:left w:w="15" w:type="dxa"/>
              <w:bottom w:w="0" w:type="dxa"/>
              <w:right w:w="15" w:type="dxa"/>
            </w:tcMar>
            <w:vAlign w:val="bottom"/>
          </w:tcPr>
          <w:p w14:paraId="13DBDE75"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w:t>
            </w:r>
          </w:p>
        </w:tc>
      </w:tr>
      <w:tr w:rsidR="00EE0F87" w:rsidRPr="00EE0F87" w14:paraId="045EAA27" w14:textId="77777777" w:rsidTr="00897EB6">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7FA7DE25"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Other reserves</w:t>
            </w:r>
          </w:p>
        </w:tc>
        <w:tc>
          <w:tcPr>
            <w:tcW w:w="1003" w:type="dxa"/>
            <w:tcBorders>
              <w:left w:val="nil"/>
              <w:right w:val="nil"/>
            </w:tcBorders>
          </w:tcPr>
          <w:p w14:paraId="6602225B"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003" w:type="dxa"/>
            <w:tcBorders>
              <w:left w:val="nil"/>
              <w:right w:val="nil"/>
            </w:tcBorders>
          </w:tcPr>
          <w:p w14:paraId="7AECF311"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p>
        </w:tc>
        <w:tc>
          <w:tcPr>
            <w:tcW w:w="1003" w:type="dxa"/>
            <w:tcBorders>
              <w:left w:val="nil"/>
              <w:right w:val="nil"/>
            </w:tcBorders>
            <w:noWrap/>
            <w:tcMar>
              <w:top w:w="15" w:type="dxa"/>
              <w:left w:w="15" w:type="dxa"/>
              <w:bottom w:w="0" w:type="dxa"/>
              <w:right w:w="15" w:type="dxa"/>
            </w:tcMar>
            <w:vAlign w:val="bottom"/>
          </w:tcPr>
          <w:p w14:paraId="6F35D699"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sz w:val="20"/>
                <w:szCs w:val="20"/>
                <w:lang w:eastAsia="en-IE"/>
              </w:rPr>
              <w:t>(68)</w:t>
            </w:r>
          </w:p>
        </w:tc>
        <w:tc>
          <w:tcPr>
            <w:tcW w:w="1003" w:type="dxa"/>
            <w:tcBorders>
              <w:left w:val="nil"/>
              <w:right w:val="nil"/>
            </w:tcBorders>
            <w:noWrap/>
            <w:tcMar>
              <w:top w:w="15" w:type="dxa"/>
              <w:left w:w="15" w:type="dxa"/>
              <w:bottom w:w="0" w:type="dxa"/>
              <w:right w:w="15" w:type="dxa"/>
            </w:tcMar>
            <w:vAlign w:val="bottom"/>
          </w:tcPr>
          <w:p w14:paraId="7F769C7F"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(237)</w:t>
            </w:r>
          </w:p>
        </w:tc>
      </w:tr>
      <w:tr w:rsidR="00EE0F87" w:rsidRPr="00EE0F87" w14:paraId="762C82A4" w14:textId="77777777" w:rsidTr="00897EB6">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3EB250F1"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Retained earnings</w:t>
            </w:r>
          </w:p>
        </w:tc>
        <w:tc>
          <w:tcPr>
            <w:tcW w:w="1003" w:type="dxa"/>
            <w:tcBorders>
              <w:left w:val="nil"/>
              <w:right w:val="nil"/>
            </w:tcBorders>
          </w:tcPr>
          <w:p w14:paraId="59D7FEEC"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003" w:type="dxa"/>
            <w:tcBorders>
              <w:left w:val="nil"/>
              <w:right w:val="nil"/>
            </w:tcBorders>
          </w:tcPr>
          <w:p w14:paraId="4E5B879D"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p>
        </w:tc>
        <w:tc>
          <w:tcPr>
            <w:tcW w:w="1003" w:type="dxa"/>
            <w:tcBorders>
              <w:left w:val="nil"/>
              <w:bottom w:val="single" w:sz="4" w:space="0" w:color="auto"/>
              <w:right w:val="nil"/>
            </w:tcBorders>
            <w:noWrap/>
            <w:tcMar>
              <w:top w:w="15" w:type="dxa"/>
              <w:left w:w="15" w:type="dxa"/>
              <w:bottom w:w="0" w:type="dxa"/>
              <w:right w:w="15" w:type="dxa"/>
            </w:tcMar>
            <w:vAlign w:val="bottom"/>
          </w:tcPr>
          <w:p w14:paraId="286E70BF"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sz w:val="20"/>
                <w:szCs w:val="20"/>
                <w:lang w:eastAsia="en-IE"/>
              </w:rPr>
              <w:t>5,204</w:t>
            </w:r>
          </w:p>
        </w:tc>
        <w:tc>
          <w:tcPr>
            <w:tcW w:w="1003" w:type="dxa"/>
            <w:tcBorders>
              <w:left w:val="nil"/>
              <w:bottom w:val="single" w:sz="4" w:space="0" w:color="auto"/>
              <w:right w:val="nil"/>
            </w:tcBorders>
            <w:noWrap/>
            <w:tcMar>
              <w:top w:w="15" w:type="dxa"/>
              <w:left w:w="15" w:type="dxa"/>
              <w:bottom w:w="0" w:type="dxa"/>
              <w:right w:w="15" w:type="dxa"/>
            </w:tcMar>
            <w:vAlign w:val="bottom"/>
          </w:tcPr>
          <w:p w14:paraId="2FE819A4"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6,452</w:t>
            </w:r>
          </w:p>
        </w:tc>
      </w:tr>
      <w:tr w:rsidR="00EE0F87" w:rsidRPr="00EE0F87" w14:paraId="5D9BAC65" w14:textId="77777777" w:rsidTr="00897EB6">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249CB428"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lang w:eastAsia="en-IE"/>
              </w:rPr>
            </w:pPr>
            <w:r w:rsidRPr="00EE0F87">
              <w:rPr>
                <w:rFonts w:ascii="Times New Roman" w:eastAsia="Times New Roman" w:hAnsi="Times New Roman" w:cs="Times New Roman"/>
                <w:b/>
                <w:bCs/>
                <w:sz w:val="20"/>
                <w:szCs w:val="20"/>
                <w:lang w:eastAsia="en-IE"/>
              </w:rPr>
              <w:t>TOTAL EQUITY</w:t>
            </w:r>
          </w:p>
        </w:tc>
        <w:tc>
          <w:tcPr>
            <w:tcW w:w="1003" w:type="dxa"/>
            <w:tcBorders>
              <w:left w:val="nil"/>
              <w:right w:val="nil"/>
            </w:tcBorders>
          </w:tcPr>
          <w:p w14:paraId="2AB82FA2"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003" w:type="dxa"/>
            <w:tcBorders>
              <w:left w:val="nil"/>
              <w:right w:val="nil"/>
            </w:tcBorders>
          </w:tcPr>
          <w:p w14:paraId="7708302A"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102CC50E"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sz w:val="20"/>
                <w:szCs w:val="20"/>
                <w:lang w:eastAsia="en-IE"/>
              </w:rPr>
              <w:t>5,700</w:t>
            </w: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20905F10"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6,779</w:t>
            </w:r>
          </w:p>
        </w:tc>
      </w:tr>
      <w:tr w:rsidR="00EE0F87" w:rsidRPr="00EE0F87" w14:paraId="47E0CCAE" w14:textId="77777777" w:rsidTr="00897EB6">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383198C0"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en-IE"/>
              </w:rPr>
            </w:pPr>
          </w:p>
        </w:tc>
        <w:tc>
          <w:tcPr>
            <w:tcW w:w="1003" w:type="dxa"/>
            <w:tcBorders>
              <w:left w:val="nil"/>
              <w:right w:val="nil"/>
            </w:tcBorders>
          </w:tcPr>
          <w:p w14:paraId="61BDD377"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003" w:type="dxa"/>
            <w:tcBorders>
              <w:left w:val="nil"/>
              <w:right w:val="nil"/>
            </w:tcBorders>
          </w:tcPr>
          <w:p w14:paraId="4A6674A4"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p>
        </w:tc>
        <w:tc>
          <w:tcPr>
            <w:tcW w:w="1003" w:type="dxa"/>
            <w:tcBorders>
              <w:top w:val="single" w:sz="4" w:space="0" w:color="auto"/>
              <w:left w:val="nil"/>
              <w:right w:val="nil"/>
            </w:tcBorders>
            <w:noWrap/>
            <w:tcMar>
              <w:top w:w="15" w:type="dxa"/>
              <w:left w:w="15" w:type="dxa"/>
              <w:bottom w:w="0" w:type="dxa"/>
              <w:right w:w="15" w:type="dxa"/>
            </w:tcMar>
            <w:vAlign w:val="bottom"/>
          </w:tcPr>
          <w:p w14:paraId="57958D72"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p>
        </w:tc>
        <w:tc>
          <w:tcPr>
            <w:tcW w:w="1003" w:type="dxa"/>
            <w:tcBorders>
              <w:top w:val="single" w:sz="4" w:space="0" w:color="auto"/>
              <w:left w:val="nil"/>
              <w:right w:val="nil"/>
            </w:tcBorders>
            <w:noWrap/>
            <w:tcMar>
              <w:top w:w="15" w:type="dxa"/>
              <w:left w:w="15" w:type="dxa"/>
              <w:bottom w:w="0" w:type="dxa"/>
              <w:right w:w="15" w:type="dxa"/>
            </w:tcMar>
            <w:vAlign w:val="bottom"/>
          </w:tcPr>
          <w:p w14:paraId="1F602E66"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p>
        </w:tc>
      </w:tr>
      <w:tr w:rsidR="00EE0F87" w:rsidRPr="00EE0F87" w14:paraId="2DC4ED6F" w14:textId="77777777" w:rsidTr="00897EB6">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16190FF2"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lang w:eastAsia="en-IE"/>
              </w:rPr>
            </w:pPr>
            <w:r w:rsidRPr="00EE0F87">
              <w:rPr>
                <w:rFonts w:ascii="Times New Roman" w:eastAsia="Times New Roman" w:hAnsi="Times New Roman" w:cs="Times New Roman"/>
                <w:b/>
                <w:bCs/>
                <w:sz w:val="20"/>
                <w:szCs w:val="20"/>
                <w:lang w:eastAsia="en-IE"/>
              </w:rPr>
              <w:t>Non-current liabilities</w:t>
            </w:r>
          </w:p>
        </w:tc>
        <w:tc>
          <w:tcPr>
            <w:tcW w:w="1003" w:type="dxa"/>
            <w:tcBorders>
              <w:top w:val="nil"/>
              <w:left w:val="nil"/>
              <w:bottom w:val="nil"/>
              <w:right w:val="nil"/>
            </w:tcBorders>
          </w:tcPr>
          <w:p w14:paraId="5A857D7F"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003" w:type="dxa"/>
            <w:tcBorders>
              <w:top w:val="nil"/>
              <w:left w:val="nil"/>
              <w:bottom w:val="nil"/>
              <w:right w:val="nil"/>
            </w:tcBorders>
          </w:tcPr>
          <w:p w14:paraId="4E2C4F05"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14E06383"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7F565341"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r>
      <w:tr w:rsidR="00EE0F87" w:rsidRPr="00EE0F87" w14:paraId="5A8A1287" w14:textId="77777777" w:rsidTr="00897EB6">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76D588DF"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Borrowings</w:t>
            </w:r>
          </w:p>
        </w:tc>
        <w:tc>
          <w:tcPr>
            <w:tcW w:w="1003" w:type="dxa"/>
            <w:tcBorders>
              <w:top w:val="nil"/>
              <w:left w:val="nil"/>
              <w:bottom w:val="nil"/>
              <w:right w:val="nil"/>
            </w:tcBorders>
          </w:tcPr>
          <w:p w14:paraId="78F0D323"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003" w:type="dxa"/>
            <w:tcBorders>
              <w:top w:val="nil"/>
              <w:left w:val="nil"/>
              <w:bottom w:val="nil"/>
              <w:right w:val="nil"/>
            </w:tcBorders>
          </w:tcPr>
          <w:p w14:paraId="49E0D6EE"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51A253FB"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sz w:val="20"/>
                <w:szCs w:val="20"/>
                <w:lang w:eastAsia="en-IE"/>
              </w:rPr>
              <w:t>1,016</w:t>
            </w:r>
          </w:p>
        </w:tc>
        <w:tc>
          <w:tcPr>
            <w:tcW w:w="1003" w:type="dxa"/>
            <w:tcBorders>
              <w:top w:val="nil"/>
              <w:left w:val="nil"/>
              <w:bottom w:val="nil"/>
              <w:right w:val="nil"/>
            </w:tcBorders>
            <w:noWrap/>
            <w:tcMar>
              <w:top w:w="15" w:type="dxa"/>
              <w:left w:w="15" w:type="dxa"/>
              <w:bottom w:w="0" w:type="dxa"/>
              <w:right w:w="15" w:type="dxa"/>
            </w:tcMar>
            <w:vAlign w:val="bottom"/>
          </w:tcPr>
          <w:p w14:paraId="5B7CB71F"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794</w:t>
            </w:r>
          </w:p>
        </w:tc>
      </w:tr>
      <w:tr w:rsidR="00EE0F87" w:rsidRPr="00EE0F87" w14:paraId="05C25716" w14:textId="77777777" w:rsidTr="00897EB6">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7DF59EF4"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Deferred tax</w:t>
            </w:r>
          </w:p>
        </w:tc>
        <w:tc>
          <w:tcPr>
            <w:tcW w:w="1003" w:type="dxa"/>
            <w:tcBorders>
              <w:top w:val="nil"/>
              <w:left w:val="nil"/>
              <w:bottom w:val="nil"/>
              <w:right w:val="nil"/>
            </w:tcBorders>
          </w:tcPr>
          <w:p w14:paraId="52DFF5A5"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003" w:type="dxa"/>
            <w:tcBorders>
              <w:top w:val="nil"/>
              <w:left w:val="nil"/>
              <w:bottom w:val="nil"/>
              <w:right w:val="nil"/>
            </w:tcBorders>
          </w:tcPr>
          <w:p w14:paraId="74DF9048"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3FAF1617"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sz w:val="20"/>
                <w:szCs w:val="20"/>
                <w:lang w:eastAsia="en-IE"/>
              </w:rPr>
              <w:t>58</w:t>
            </w:r>
          </w:p>
        </w:tc>
        <w:tc>
          <w:tcPr>
            <w:tcW w:w="1003" w:type="dxa"/>
            <w:tcBorders>
              <w:top w:val="nil"/>
              <w:left w:val="nil"/>
              <w:bottom w:val="nil"/>
              <w:right w:val="nil"/>
            </w:tcBorders>
            <w:noWrap/>
            <w:tcMar>
              <w:top w:w="15" w:type="dxa"/>
              <w:left w:w="15" w:type="dxa"/>
              <w:bottom w:w="0" w:type="dxa"/>
              <w:right w:w="15" w:type="dxa"/>
            </w:tcMar>
            <w:vAlign w:val="bottom"/>
          </w:tcPr>
          <w:p w14:paraId="3AEF349E"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35</w:t>
            </w:r>
          </w:p>
        </w:tc>
      </w:tr>
      <w:tr w:rsidR="00EE0F87" w:rsidRPr="00EE0F87" w14:paraId="30D427A8" w14:textId="77777777" w:rsidTr="00897EB6">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0B9397A0"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003" w:type="dxa"/>
            <w:tcBorders>
              <w:left w:val="nil"/>
              <w:right w:val="nil"/>
            </w:tcBorders>
          </w:tcPr>
          <w:p w14:paraId="382C842E"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003" w:type="dxa"/>
            <w:tcBorders>
              <w:left w:val="nil"/>
              <w:right w:val="nil"/>
            </w:tcBorders>
          </w:tcPr>
          <w:p w14:paraId="1ED7B540"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5451183D"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sz w:val="20"/>
                <w:szCs w:val="20"/>
                <w:lang w:eastAsia="en-IE"/>
              </w:rPr>
              <w:t>1,074</w:t>
            </w: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461BBAA5"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829</w:t>
            </w:r>
          </w:p>
        </w:tc>
      </w:tr>
      <w:tr w:rsidR="00EE0F87" w:rsidRPr="00EE0F87" w14:paraId="552BFCA3" w14:textId="77777777" w:rsidTr="00897EB6">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56021818"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lang w:eastAsia="en-IE"/>
              </w:rPr>
            </w:pPr>
            <w:r w:rsidRPr="00EE0F87">
              <w:rPr>
                <w:rFonts w:ascii="Times New Roman" w:eastAsia="Times New Roman" w:hAnsi="Times New Roman" w:cs="Times New Roman"/>
                <w:b/>
                <w:bCs/>
                <w:sz w:val="20"/>
                <w:szCs w:val="20"/>
                <w:lang w:eastAsia="en-IE"/>
              </w:rPr>
              <w:t>Current liabilities</w:t>
            </w:r>
          </w:p>
        </w:tc>
        <w:tc>
          <w:tcPr>
            <w:tcW w:w="1003" w:type="dxa"/>
            <w:tcBorders>
              <w:top w:val="nil"/>
              <w:left w:val="nil"/>
              <w:bottom w:val="nil"/>
              <w:right w:val="nil"/>
            </w:tcBorders>
          </w:tcPr>
          <w:p w14:paraId="2963362C"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003" w:type="dxa"/>
            <w:tcBorders>
              <w:top w:val="nil"/>
              <w:left w:val="nil"/>
              <w:bottom w:val="nil"/>
              <w:right w:val="nil"/>
            </w:tcBorders>
          </w:tcPr>
          <w:p w14:paraId="5E220D93"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5B6FA734"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656E57D2"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r>
      <w:tr w:rsidR="00EE0F87" w:rsidRPr="00EE0F87" w14:paraId="31BA2042" w14:textId="77777777" w:rsidTr="00897EB6">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1387E1E5"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Trade and other payables</w:t>
            </w:r>
          </w:p>
        </w:tc>
        <w:tc>
          <w:tcPr>
            <w:tcW w:w="1003" w:type="dxa"/>
            <w:tcBorders>
              <w:top w:val="nil"/>
              <w:left w:val="nil"/>
              <w:bottom w:val="nil"/>
              <w:right w:val="nil"/>
            </w:tcBorders>
          </w:tcPr>
          <w:p w14:paraId="5EF1B826"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003" w:type="dxa"/>
            <w:tcBorders>
              <w:top w:val="nil"/>
              <w:left w:val="nil"/>
              <w:bottom w:val="nil"/>
              <w:right w:val="nil"/>
            </w:tcBorders>
          </w:tcPr>
          <w:p w14:paraId="7A327F37"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7E475305"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sz w:val="20"/>
                <w:szCs w:val="20"/>
                <w:lang w:eastAsia="en-IE"/>
              </w:rPr>
              <w:t>3,427</w:t>
            </w:r>
          </w:p>
        </w:tc>
        <w:tc>
          <w:tcPr>
            <w:tcW w:w="1003" w:type="dxa"/>
            <w:tcBorders>
              <w:top w:val="nil"/>
              <w:left w:val="nil"/>
              <w:bottom w:val="nil"/>
              <w:right w:val="nil"/>
            </w:tcBorders>
            <w:noWrap/>
            <w:tcMar>
              <w:top w:w="15" w:type="dxa"/>
              <w:left w:w="15" w:type="dxa"/>
              <w:bottom w:w="0" w:type="dxa"/>
              <w:right w:w="15" w:type="dxa"/>
            </w:tcMar>
            <w:vAlign w:val="bottom"/>
          </w:tcPr>
          <w:p w14:paraId="1148D257"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2,579</w:t>
            </w:r>
          </w:p>
        </w:tc>
      </w:tr>
      <w:tr w:rsidR="00EE0F87" w:rsidRPr="00EE0F87" w14:paraId="21E3FD32" w14:textId="77777777" w:rsidTr="00897EB6">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4C7456D9"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Liabilities - discontinued operations</w:t>
            </w:r>
          </w:p>
        </w:tc>
        <w:tc>
          <w:tcPr>
            <w:tcW w:w="1003" w:type="dxa"/>
            <w:tcBorders>
              <w:top w:val="nil"/>
              <w:left w:val="nil"/>
              <w:bottom w:val="nil"/>
              <w:right w:val="nil"/>
            </w:tcBorders>
          </w:tcPr>
          <w:p w14:paraId="263498A0"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003" w:type="dxa"/>
            <w:tcBorders>
              <w:top w:val="nil"/>
              <w:left w:val="nil"/>
              <w:bottom w:val="nil"/>
              <w:right w:val="nil"/>
            </w:tcBorders>
          </w:tcPr>
          <w:p w14:paraId="4AD00B24"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2A4835D4"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sz w:val="20"/>
                <w:szCs w:val="20"/>
                <w:lang w:eastAsia="en-IE"/>
              </w:rPr>
              <w:t>298</w:t>
            </w:r>
          </w:p>
        </w:tc>
        <w:tc>
          <w:tcPr>
            <w:tcW w:w="1003" w:type="dxa"/>
            <w:tcBorders>
              <w:top w:val="nil"/>
              <w:left w:val="nil"/>
              <w:bottom w:val="nil"/>
              <w:right w:val="nil"/>
            </w:tcBorders>
            <w:noWrap/>
            <w:tcMar>
              <w:top w:w="15" w:type="dxa"/>
              <w:left w:w="15" w:type="dxa"/>
              <w:bottom w:w="0" w:type="dxa"/>
              <w:right w:w="15" w:type="dxa"/>
            </w:tcMar>
            <w:vAlign w:val="bottom"/>
          </w:tcPr>
          <w:p w14:paraId="2F45C003"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1,869</w:t>
            </w:r>
          </w:p>
        </w:tc>
      </w:tr>
      <w:tr w:rsidR="00EE0F87" w:rsidRPr="00EE0F87" w14:paraId="2E3A0B0E" w14:textId="77777777" w:rsidTr="00897EB6">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4275334B"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Borrowings</w:t>
            </w:r>
          </w:p>
        </w:tc>
        <w:tc>
          <w:tcPr>
            <w:tcW w:w="1003" w:type="dxa"/>
            <w:tcBorders>
              <w:top w:val="nil"/>
              <w:left w:val="nil"/>
              <w:bottom w:val="nil"/>
              <w:right w:val="nil"/>
            </w:tcBorders>
          </w:tcPr>
          <w:p w14:paraId="253D8CB4"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003" w:type="dxa"/>
            <w:tcBorders>
              <w:top w:val="nil"/>
              <w:left w:val="nil"/>
              <w:bottom w:val="nil"/>
              <w:right w:val="nil"/>
            </w:tcBorders>
          </w:tcPr>
          <w:p w14:paraId="454BA1AB"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0185F384"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sz w:val="20"/>
                <w:szCs w:val="20"/>
                <w:lang w:eastAsia="en-IE"/>
              </w:rPr>
              <w:t>3,915</w:t>
            </w:r>
          </w:p>
        </w:tc>
        <w:tc>
          <w:tcPr>
            <w:tcW w:w="1003" w:type="dxa"/>
            <w:tcBorders>
              <w:top w:val="nil"/>
              <w:left w:val="nil"/>
              <w:bottom w:val="nil"/>
              <w:right w:val="nil"/>
            </w:tcBorders>
            <w:noWrap/>
            <w:tcMar>
              <w:top w:w="15" w:type="dxa"/>
              <w:left w:w="15" w:type="dxa"/>
              <w:bottom w:w="0" w:type="dxa"/>
              <w:right w:w="15" w:type="dxa"/>
            </w:tcMar>
            <w:vAlign w:val="bottom"/>
          </w:tcPr>
          <w:p w14:paraId="0ADBD2FE"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2,351</w:t>
            </w:r>
          </w:p>
        </w:tc>
      </w:tr>
      <w:tr w:rsidR="00EE0F87" w:rsidRPr="00EE0F87" w14:paraId="50F3AD85" w14:textId="77777777" w:rsidTr="00897EB6">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03C6E095"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003" w:type="dxa"/>
            <w:tcBorders>
              <w:left w:val="nil"/>
              <w:right w:val="nil"/>
            </w:tcBorders>
          </w:tcPr>
          <w:p w14:paraId="7FA270B4"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003" w:type="dxa"/>
            <w:tcBorders>
              <w:left w:val="nil"/>
              <w:right w:val="nil"/>
            </w:tcBorders>
          </w:tcPr>
          <w:p w14:paraId="15CAB745"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1CE59654"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sz w:val="20"/>
                <w:szCs w:val="20"/>
                <w:lang w:eastAsia="en-IE"/>
              </w:rPr>
              <w:t>7,640</w:t>
            </w: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2EC4DA33"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6,799</w:t>
            </w:r>
          </w:p>
        </w:tc>
      </w:tr>
      <w:tr w:rsidR="00EE0F87" w:rsidRPr="00EE0F87" w14:paraId="56AD1B8E" w14:textId="77777777" w:rsidTr="00897EB6">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2F549CBC"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003" w:type="dxa"/>
            <w:tcBorders>
              <w:top w:val="nil"/>
              <w:left w:val="nil"/>
              <w:bottom w:val="nil"/>
              <w:right w:val="nil"/>
            </w:tcBorders>
          </w:tcPr>
          <w:p w14:paraId="5C0DB4D5"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003" w:type="dxa"/>
            <w:tcBorders>
              <w:top w:val="nil"/>
              <w:left w:val="nil"/>
              <w:bottom w:val="nil"/>
              <w:right w:val="nil"/>
            </w:tcBorders>
          </w:tcPr>
          <w:p w14:paraId="14DF35BC"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521D256B"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43315595"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r>
      <w:tr w:rsidR="00EE0F87" w:rsidRPr="00EE0F87" w14:paraId="6B591890" w14:textId="77777777" w:rsidTr="00897EB6">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4A06FC0A"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lang w:eastAsia="en-IE"/>
              </w:rPr>
            </w:pPr>
            <w:r w:rsidRPr="00EE0F87">
              <w:rPr>
                <w:rFonts w:ascii="Times New Roman" w:eastAsia="Times New Roman" w:hAnsi="Times New Roman" w:cs="Times New Roman"/>
                <w:b/>
                <w:bCs/>
                <w:sz w:val="20"/>
                <w:szCs w:val="20"/>
                <w:lang w:eastAsia="en-IE"/>
              </w:rPr>
              <w:t>TOTAL EQUITY AND LIABILITIES</w:t>
            </w:r>
          </w:p>
        </w:tc>
        <w:tc>
          <w:tcPr>
            <w:tcW w:w="1003" w:type="dxa"/>
            <w:tcBorders>
              <w:left w:val="nil"/>
              <w:right w:val="nil"/>
            </w:tcBorders>
          </w:tcPr>
          <w:p w14:paraId="08FFE33A"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003" w:type="dxa"/>
            <w:tcBorders>
              <w:left w:val="nil"/>
              <w:right w:val="nil"/>
            </w:tcBorders>
          </w:tcPr>
          <w:p w14:paraId="5BBCE882"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7930A528"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0"/>
                <w:lang w:eastAsia="en-IE"/>
              </w:rPr>
            </w:pPr>
            <w:r w:rsidRPr="00EE0F87">
              <w:rPr>
                <w:rFonts w:ascii="Times New Roman" w:eastAsia="Times New Roman" w:hAnsi="Times New Roman" w:cs="Times New Roman"/>
                <w:b/>
                <w:sz w:val="20"/>
                <w:szCs w:val="20"/>
                <w:lang w:eastAsia="en-IE"/>
              </w:rPr>
              <w:t>14,414</w:t>
            </w: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5A3CD8E1"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en-IE"/>
              </w:rPr>
            </w:pPr>
            <w:r w:rsidRPr="00EE0F87">
              <w:rPr>
                <w:rFonts w:ascii="Times New Roman" w:eastAsia="Times New Roman" w:hAnsi="Times New Roman" w:cs="Times New Roman"/>
                <w:sz w:val="20"/>
                <w:szCs w:val="20"/>
                <w:lang w:eastAsia="en-IE"/>
              </w:rPr>
              <w:t>14,407</w:t>
            </w:r>
          </w:p>
        </w:tc>
      </w:tr>
      <w:tr w:rsidR="00EE0F87" w:rsidRPr="00EE0F87" w14:paraId="1EA90555" w14:textId="77777777" w:rsidTr="00897EB6">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54102A92"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bCs/>
                <w:sz w:val="20"/>
                <w:szCs w:val="20"/>
                <w:lang w:eastAsia="en-IE"/>
              </w:rPr>
            </w:pPr>
          </w:p>
        </w:tc>
        <w:tc>
          <w:tcPr>
            <w:tcW w:w="1003" w:type="dxa"/>
            <w:tcBorders>
              <w:top w:val="nil"/>
              <w:left w:val="nil"/>
              <w:bottom w:val="nil"/>
              <w:right w:val="nil"/>
            </w:tcBorders>
          </w:tcPr>
          <w:p w14:paraId="0B3E105D"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c>
          <w:tcPr>
            <w:tcW w:w="1003" w:type="dxa"/>
            <w:tcBorders>
              <w:top w:val="nil"/>
              <w:left w:val="nil"/>
              <w:bottom w:val="nil"/>
              <w:right w:val="nil"/>
            </w:tcBorders>
          </w:tcPr>
          <w:p w14:paraId="670673C9"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7D94C21A"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en-IE"/>
              </w:rPr>
            </w:pPr>
          </w:p>
        </w:tc>
        <w:tc>
          <w:tcPr>
            <w:tcW w:w="1003" w:type="dxa"/>
            <w:tcBorders>
              <w:top w:val="nil"/>
              <w:left w:val="nil"/>
              <w:bottom w:val="nil"/>
              <w:right w:val="nil"/>
            </w:tcBorders>
            <w:noWrap/>
            <w:tcMar>
              <w:top w:w="15" w:type="dxa"/>
              <w:left w:w="15" w:type="dxa"/>
              <w:bottom w:w="0" w:type="dxa"/>
              <w:right w:w="15" w:type="dxa"/>
            </w:tcMar>
            <w:vAlign w:val="bottom"/>
          </w:tcPr>
          <w:p w14:paraId="4EE768B7"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en-IE"/>
              </w:rPr>
            </w:pPr>
          </w:p>
        </w:tc>
      </w:tr>
    </w:tbl>
    <w:p w14:paraId="553E40FB" w14:textId="77777777" w:rsidR="00EE0F87" w:rsidRPr="00EE0F87" w:rsidRDefault="00EE0F87" w:rsidP="00EE0F87">
      <w:pPr>
        <w:widowControl w:val="0"/>
        <w:tabs>
          <w:tab w:val="right" w:pos="5040"/>
        </w:tabs>
        <w:overflowPunct w:val="0"/>
        <w:autoSpaceDE w:val="0"/>
        <w:autoSpaceDN w:val="0"/>
        <w:adjustRightInd w:val="0"/>
        <w:spacing w:after="0" w:line="228" w:lineRule="auto"/>
        <w:textAlignment w:val="baseline"/>
        <w:rPr>
          <w:rFonts w:ascii="Times New Roman" w:eastAsia="Times New Roman" w:hAnsi="Times New Roman" w:cs="Times New Roman"/>
          <w:sz w:val="20"/>
          <w:szCs w:val="20"/>
          <w:lang w:eastAsia="en-IE"/>
        </w:rPr>
      </w:pPr>
    </w:p>
    <w:p w14:paraId="504FB260" w14:textId="77777777" w:rsidR="00EE0F87" w:rsidRPr="00EE0F87" w:rsidRDefault="00EE0F87" w:rsidP="00EE0F87">
      <w:pPr>
        <w:widowControl w:val="0"/>
        <w:overflowPunct w:val="0"/>
        <w:autoSpaceDE w:val="0"/>
        <w:autoSpaceDN w:val="0"/>
        <w:adjustRightInd w:val="0"/>
        <w:spacing w:after="0" w:line="228" w:lineRule="auto"/>
        <w:textAlignment w:val="baseline"/>
        <w:rPr>
          <w:rFonts w:ascii="Times New Roman" w:eastAsia="Times New Roman" w:hAnsi="Times New Roman" w:cs="Times New Roman"/>
          <w:sz w:val="20"/>
          <w:szCs w:val="20"/>
          <w:lang w:eastAsia="en-IE"/>
        </w:rPr>
      </w:pPr>
    </w:p>
    <w:p w14:paraId="1C7AFADF" w14:textId="77777777" w:rsidR="00EE0F87" w:rsidRPr="00EE0F87" w:rsidRDefault="00EE0F87" w:rsidP="00EE0F87">
      <w:pPr>
        <w:widowControl w:val="0"/>
        <w:overflowPunct w:val="0"/>
        <w:autoSpaceDE w:val="0"/>
        <w:autoSpaceDN w:val="0"/>
        <w:adjustRightInd w:val="0"/>
        <w:spacing w:after="0" w:line="228" w:lineRule="auto"/>
        <w:textAlignment w:val="baseline"/>
        <w:rPr>
          <w:rFonts w:ascii="Times" w:eastAsia="Times New Roman" w:hAnsi="Times" w:cs="Times New Roman"/>
          <w:b/>
          <w:szCs w:val="20"/>
          <w:lang w:eastAsia="en-IE"/>
        </w:rPr>
      </w:pPr>
      <w:r w:rsidRPr="00EE0F87">
        <w:rPr>
          <w:rFonts w:ascii="Times" w:eastAsia="Times New Roman" w:hAnsi="Times" w:cs="Times New Roman"/>
          <w:b/>
          <w:szCs w:val="20"/>
          <w:lang w:eastAsia="en-IE"/>
        </w:rPr>
        <w:t xml:space="preserve">          </w:t>
      </w:r>
      <w:r w:rsidRPr="00EE0F87">
        <w:rPr>
          <w:rFonts w:ascii="Times" w:eastAsia="Times New Roman" w:hAnsi="Times" w:cs="Times New Roman"/>
          <w:b/>
          <w:szCs w:val="20"/>
          <w:lang w:eastAsia="en-IE"/>
        </w:rPr>
        <w:tab/>
      </w:r>
      <w:r w:rsidRPr="00EE0F87">
        <w:rPr>
          <w:rFonts w:ascii="Times" w:eastAsia="Times New Roman" w:hAnsi="Times" w:cs="Times New Roman"/>
          <w:b/>
          <w:szCs w:val="20"/>
          <w:lang w:eastAsia="en-IE"/>
        </w:rPr>
        <w:tab/>
      </w:r>
    </w:p>
    <w:p w14:paraId="34F7095D" w14:textId="77777777" w:rsidR="00EE0F87" w:rsidRPr="00EE0F87" w:rsidRDefault="00EE0F87" w:rsidP="00EE0F87">
      <w:pPr>
        <w:widowControl w:val="0"/>
        <w:overflowPunct w:val="0"/>
        <w:autoSpaceDE w:val="0"/>
        <w:autoSpaceDN w:val="0"/>
        <w:adjustRightInd w:val="0"/>
        <w:spacing w:after="0" w:line="216" w:lineRule="auto"/>
        <w:textAlignment w:val="baseline"/>
        <w:rPr>
          <w:rFonts w:ascii="Arial" w:eastAsia="Times New Roman" w:hAnsi="Arial" w:cs="Arial"/>
          <w:b/>
          <w:bCs/>
          <w:caps/>
          <w:color w:val="000000"/>
          <w:sz w:val="30"/>
          <w:szCs w:val="30"/>
          <w:lang w:eastAsia="en-GB"/>
        </w:rPr>
      </w:pPr>
    </w:p>
    <w:p w14:paraId="042F1226" w14:textId="77777777" w:rsidR="00EE0F87" w:rsidRPr="00EE0F87" w:rsidRDefault="00EE0F87" w:rsidP="00EE0F87">
      <w:pPr>
        <w:widowControl w:val="0"/>
        <w:overflowPunct w:val="0"/>
        <w:autoSpaceDE w:val="0"/>
        <w:autoSpaceDN w:val="0"/>
        <w:adjustRightInd w:val="0"/>
        <w:spacing w:after="0" w:line="216" w:lineRule="auto"/>
        <w:textAlignment w:val="baseline"/>
        <w:rPr>
          <w:rFonts w:ascii="Arial" w:eastAsia="Times New Roman" w:hAnsi="Arial" w:cs="Arial"/>
          <w:b/>
          <w:bCs/>
          <w:caps/>
          <w:color w:val="000000"/>
          <w:sz w:val="30"/>
          <w:szCs w:val="30"/>
          <w:lang w:eastAsia="en-GB"/>
        </w:rPr>
      </w:pPr>
    </w:p>
    <w:p w14:paraId="1CD7FBB9" w14:textId="77777777" w:rsidR="00EE0F87" w:rsidRPr="00EE0F87" w:rsidRDefault="00EE0F87" w:rsidP="00EE0F87">
      <w:pPr>
        <w:widowControl w:val="0"/>
        <w:overflowPunct w:val="0"/>
        <w:autoSpaceDE w:val="0"/>
        <w:autoSpaceDN w:val="0"/>
        <w:adjustRightInd w:val="0"/>
        <w:spacing w:after="0" w:line="216" w:lineRule="auto"/>
        <w:textAlignment w:val="baseline"/>
        <w:rPr>
          <w:rFonts w:ascii="Arial" w:eastAsia="Times New Roman" w:hAnsi="Arial" w:cs="Arial"/>
          <w:b/>
          <w:bCs/>
          <w:caps/>
          <w:color w:val="000000"/>
          <w:sz w:val="30"/>
          <w:szCs w:val="30"/>
          <w:lang w:eastAsia="en-GB"/>
        </w:rPr>
      </w:pPr>
    </w:p>
    <w:p w14:paraId="24E0995D" w14:textId="77777777" w:rsidR="00EE0F87" w:rsidRPr="00EE0F87" w:rsidRDefault="00EE0F87" w:rsidP="00EE0F87">
      <w:pPr>
        <w:widowControl w:val="0"/>
        <w:overflowPunct w:val="0"/>
        <w:autoSpaceDE w:val="0"/>
        <w:autoSpaceDN w:val="0"/>
        <w:adjustRightInd w:val="0"/>
        <w:spacing w:after="0" w:line="216" w:lineRule="auto"/>
        <w:textAlignment w:val="baseline"/>
        <w:rPr>
          <w:rFonts w:ascii="Arial" w:eastAsia="Times New Roman" w:hAnsi="Arial" w:cs="Arial"/>
          <w:b/>
          <w:bCs/>
          <w:caps/>
          <w:color w:val="000000"/>
          <w:sz w:val="30"/>
          <w:szCs w:val="30"/>
          <w:lang w:eastAsia="en-GB"/>
        </w:rPr>
      </w:pPr>
    </w:p>
    <w:p w14:paraId="57683E41" w14:textId="77777777" w:rsidR="00EE0F87" w:rsidRPr="00EE0F87" w:rsidRDefault="00EE0F87" w:rsidP="00EE0F87">
      <w:pPr>
        <w:widowControl w:val="0"/>
        <w:overflowPunct w:val="0"/>
        <w:autoSpaceDE w:val="0"/>
        <w:autoSpaceDN w:val="0"/>
        <w:adjustRightInd w:val="0"/>
        <w:spacing w:after="0" w:line="216" w:lineRule="auto"/>
        <w:textAlignment w:val="baseline"/>
        <w:rPr>
          <w:rFonts w:ascii="Arial" w:eastAsia="Times New Roman" w:hAnsi="Arial" w:cs="Arial"/>
          <w:b/>
          <w:bCs/>
          <w:caps/>
          <w:color w:val="000000"/>
          <w:sz w:val="30"/>
          <w:szCs w:val="30"/>
          <w:lang w:eastAsia="en-GB"/>
        </w:rPr>
      </w:pPr>
    </w:p>
    <w:p w14:paraId="552929AA" w14:textId="77777777" w:rsidR="00EE0F87" w:rsidRPr="00EE0F87" w:rsidRDefault="00EE0F87" w:rsidP="00EE0F87">
      <w:pPr>
        <w:widowControl w:val="0"/>
        <w:overflowPunct w:val="0"/>
        <w:autoSpaceDE w:val="0"/>
        <w:autoSpaceDN w:val="0"/>
        <w:adjustRightInd w:val="0"/>
        <w:spacing w:after="0" w:line="216" w:lineRule="auto"/>
        <w:textAlignment w:val="baseline"/>
        <w:rPr>
          <w:rFonts w:ascii="Arial" w:eastAsia="Times New Roman" w:hAnsi="Arial" w:cs="Arial"/>
          <w:b/>
          <w:bCs/>
          <w:caps/>
          <w:color w:val="000000"/>
          <w:sz w:val="30"/>
          <w:szCs w:val="30"/>
          <w:lang w:eastAsia="en-GB"/>
        </w:rPr>
      </w:pPr>
    </w:p>
    <w:p w14:paraId="273047BC" w14:textId="77777777" w:rsidR="00EE0F87" w:rsidRPr="00EE0F87" w:rsidRDefault="00EE0F87" w:rsidP="00EE0F87">
      <w:pPr>
        <w:widowControl w:val="0"/>
        <w:overflowPunct w:val="0"/>
        <w:autoSpaceDE w:val="0"/>
        <w:autoSpaceDN w:val="0"/>
        <w:adjustRightInd w:val="0"/>
        <w:spacing w:after="0" w:line="216" w:lineRule="auto"/>
        <w:textAlignment w:val="baseline"/>
        <w:rPr>
          <w:rFonts w:ascii="Arial" w:eastAsia="Times New Roman" w:hAnsi="Arial" w:cs="Arial"/>
          <w:b/>
          <w:bCs/>
          <w:caps/>
          <w:color w:val="000000"/>
          <w:sz w:val="30"/>
          <w:szCs w:val="30"/>
          <w:lang w:eastAsia="en-GB"/>
        </w:rPr>
      </w:pPr>
    </w:p>
    <w:p w14:paraId="023CBD22" w14:textId="77777777" w:rsidR="00EE0F87" w:rsidRPr="00EE0F87" w:rsidRDefault="00EE0F87" w:rsidP="00EE0F87">
      <w:pPr>
        <w:widowControl w:val="0"/>
        <w:overflowPunct w:val="0"/>
        <w:autoSpaceDE w:val="0"/>
        <w:autoSpaceDN w:val="0"/>
        <w:adjustRightInd w:val="0"/>
        <w:spacing w:after="0" w:line="216" w:lineRule="auto"/>
        <w:textAlignment w:val="baseline"/>
        <w:rPr>
          <w:rFonts w:ascii="Arial" w:eastAsia="Times New Roman" w:hAnsi="Arial" w:cs="Arial"/>
          <w:b/>
          <w:bCs/>
          <w:caps/>
          <w:color w:val="000000"/>
          <w:sz w:val="30"/>
          <w:szCs w:val="30"/>
          <w:lang w:eastAsia="en-GB"/>
        </w:rPr>
      </w:pPr>
    </w:p>
    <w:p w14:paraId="6F307FEA" w14:textId="77777777" w:rsidR="00EE0F87" w:rsidRPr="00EE0F87" w:rsidRDefault="00EE0F87" w:rsidP="00EE0F87">
      <w:pPr>
        <w:widowControl w:val="0"/>
        <w:overflowPunct w:val="0"/>
        <w:autoSpaceDE w:val="0"/>
        <w:autoSpaceDN w:val="0"/>
        <w:adjustRightInd w:val="0"/>
        <w:spacing w:after="0" w:line="216" w:lineRule="auto"/>
        <w:textAlignment w:val="baseline"/>
        <w:rPr>
          <w:rFonts w:ascii="Arial" w:eastAsia="Times New Roman" w:hAnsi="Arial" w:cs="Arial"/>
          <w:b/>
          <w:bCs/>
          <w:caps/>
          <w:color w:val="000000"/>
          <w:sz w:val="30"/>
          <w:szCs w:val="30"/>
          <w:lang w:eastAsia="en-GB"/>
        </w:rPr>
      </w:pPr>
    </w:p>
    <w:p w14:paraId="32A8278D" w14:textId="77777777" w:rsidR="00EE0F87" w:rsidRPr="00EE0F87" w:rsidRDefault="00EE0F87" w:rsidP="00EE0F87">
      <w:pPr>
        <w:widowControl w:val="0"/>
        <w:overflowPunct w:val="0"/>
        <w:autoSpaceDE w:val="0"/>
        <w:autoSpaceDN w:val="0"/>
        <w:adjustRightInd w:val="0"/>
        <w:spacing w:after="0" w:line="216" w:lineRule="auto"/>
        <w:textAlignment w:val="baseline"/>
        <w:rPr>
          <w:rFonts w:ascii="Arial" w:eastAsia="Times New Roman" w:hAnsi="Arial" w:cs="Arial"/>
          <w:b/>
          <w:bCs/>
          <w:caps/>
          <w:color w:val="000000"/>
          <w:sz w:val="30"/>
          <w:szCs w:val="30"/>
          <w:lang w:eastAsia="en-GB"/>
        </w:rPr>
      </w:pPr>
      <w:r w:rsidRPr="00EE0F87">
        <w:rPr>
          <w:rFonts w:ascii="Arial" w:eastAsia="Times New Roman" w:hAnsi="Arial" w:cs="Arial"/>
          <w:b/>
          <w:bCs/>
          <w:caps/>
          <w:color w:val="000000"/>
          <w:sz w:val="30"/>
          <w:szCs w:val="30"/>
          <w:lang w:eastAsia="en-GB"/>
        </w:rPr>
        <w:lastRenderedPageBreak/>
        <w:t>Consolidated Statement of Changes in Equity</w:t>
      </w:r>
    </w:p>
    <w:p w14:paraId="78021A38" w14:textId="77777777" w:rsidR="00EE0F87" w:rsidRPr="00EE0F87" w:rsidRDefault="00EE0F87" w:rsidP="00EE0F87">
      <w:pPr>
        <w:widowControl w:val="0"/>
        <w:overflowPunct w:val="0"/>
        <w:autoSpaceDE w:val="0"/>
        <w:autoSpaceDN w:val="0"/>
        <w:adjustRightInd w:val="0"/>
        <w:spacing w:after="0" w:line="216" w:lineRule="auto"/>
        <w:textAlignment w:val="baseline"/>
        <w:rPr>
          <w:rFonts w:ascii="Times New Roman" w:eastAsia="Times New Roman" w:hAnsi="Times New Roman" w:cs="Times New Roman"/>
          <w:sz w:val="28"/>
          <w:szCs w:val="28"/>
          <w:lang w:eastAsia="en-IE"/>
        </w:rPr>
      </w:pPr>
    </w:p>
    <w:p w14:paraId="03B4D9EC" w14:textId="77777777" w:rsidR="00EE0F87" w:rsidRPr="00EE0F87" w:rsidRDefault="00EE0F87" w:rsidP="00EE0F87">
      <w:pPr>
        <w:widowControl w:val="0"/>
        <w:overflowPunct w:val="0"/>
        <w:autoSpaceDE w:val="0"/>
        <w:autoSpaceDN w:val="0"/>
        <w:adjustRightInd w:val="0"/>
        <w:spacing w:after="0" w:line="216" w:lineRule="auto"/>
        <w:textAlignment w:val="baseline"/>
        <w:rPr>
          <w:rFonts w:ascii="Times New Roman" w:eastAsia="Times New Roman" w:hAnsi="Times New Roman" w:cs="Times New Roman"/>
          <w:i/>
          <w:sz w:val="28"/>
          <w:szCs w:val="28"/>
          <w:lang w:eastAsia="en-IE"/>
        </w:rPr>
      </w:pPr>
      <w:r w:rsidRPr="00EE0F87">
        <w:rPr>
          <w:rFonts w:ascii="Times New Roman" w:eastAsia="Times New Roman" w:hAnsi="Times New Roman" w:cs="Times New Roman"/>
          <w:i/>
          <w:sz w:val="28"/>
          <w:szCs w:val="28"/>
          <w:lang w:eastAsia="en-IE"/>
        </w:rPr>
        <w:t>For the financial year ended 31 December 2022</w:t>
      </w:r>
    </w:p>
    <w:tbl>
      <w:tblPr>
        <w:tblW w:w="8505" w:type="dxa"/>
        <w:tblLayout w:type="fixed"/>
        <w:tblCellMar>
          <w:left w:w="0" w:type="dxa"/>
          <w:right w:w="0" w:type="dxa"/>
        </w:tblCellMar>
        <w:tblLook w:val="0000" w:firstRow="0" w:lastRow="0" w:firstColumn="0" w:lastColumn="0" w:noHBand="0" w:noVBand="0"/>
      </w:tblPr>
      <w:tblGrid>
        <w:gridCol w:w="2835"/>
        <w:gridCol w:w="851"/>
        <w:gridCol w:w="1134"/>
        <w:gridCol w:w="850"/>
        <w:gridCol w:w="1276"/>
        <w:gridCol w:w="851"/>
        <w:gridCol w:w="708"/>
      </w:tblGrid>
      <w:tr w:rsidR="00EE0F87" w:rsidRPr="00EE0F87" w14:paraId="316D0EBE" w14:textId="77777777" w:rsidTr="00897EB6">
        <w:trPr>
          <w:trHeight w:val="365"/>
        </w:trPr>
        <w:tc>
          <w:tcPr>
            <w:tcW w:w="2835" w:type="dxa"/>
            <w:tcBorders>
              <w:top w:val="nil"/>
              <w:left w:val="nil"/>
              <w:bottom w:val="nil"/>
              <w:right w:val="nil"/>
            </w:tcBorders>
            <w:noWrap/>
            <w:tcMar>
              <w:top w:w="15" w:type="dxa"/>
              <w:left w:w="15" w:type="dxa"/>
              <w:bottom w:w="0" w:type="dxa"/>
              <w:right w:w="15" w:type="dxa"/>
            </w:tcMar>
            <w:vAlign w:val="bottom"/>
          </w:tcPr>
          <w:p w14:paraId="4C18E4B6"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Arial Unicode MS" w:hAnsi="Times New Roman" w:cs="Times New Roman"/>
                <w:b/>
                <w:bCs/>
                <w:sz w:val="18"/>
                <w:szCs w:val="18"/>
                <w:lang w:eastAsia="en-IE"/>
              </w:rPr>
            </w:pPr>
          </w:p>
        </w:tc>
        <w:tc>
          <w:tcPr>
            <w:tcW w:w="851" w:type="dxa"/>
            <w:tcBorders>
              <w:top w:val="nil"/>
              <w:left w:val="nil"/>
              <w:bottom w:val="nil"/>
              <w:right w:val="nil"/>
            </w:tcBorders>
            <w:noWrap/>
            <w:tcMar>
              <w:top w:w="15" w:type="dxa"/>
              <w:left w:w="15" w:type="dxa"/>
              <w:bottom w:w="0" w:type="dxa"/>
              <w:right w:w="15" w:type="dxa"/>
            </w:tcMar>
            <w:vAlign w:val="bottom"/>
          </w:tcPr>
          <w:p w14:paraId="720AF9DF"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Arial Unicode MS" w:hAnsi="Times New Roman" w:cs="Times New Roman"/>
                <w:sz w:val="18"/>
                <w:szCs w:val="18"/>
                <w:lang w:eastAsia="en-IE"/>
              </w:rPr>
            </w:pPr>
          </w:p>
        </w:tc>
        <w:tc>
          <w:tcPr>
            <w:tcW w:w="1134" w:type="dxa"/>
            <w:tcBorders>
              <w:top w:val="nil"/>
              <w:left w:val="nil"/>
              <w:bottom w:val="nil"/>
              <w:right w:val="nil"/>
            </w:tcBorders>
            <w:noWrap/>
            <w:tcMar>
              <w:top w:w="15" w:type="dxa"/>
              <w:left w:w="15" w:type="dxa"/>
              <w:bottom w:w="0" w:type="dxa"/>
              <w:right w:w="15" w:type="dxa"/>
            </w:tcMar>
            <w:vAlign w:val="bottom"/>
          </w:tcPr>
          <w:p w14:paraId="2A20E576"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bCs/>
                <w:sz w:val="18"/>
                <w:szCs w:val="18"/>
                <w:lang w:eastAsia="en-IE"/>
              </w:rPr>
            </w:pPr>
          </w:p>
        </w:tc>
        <w:tc>
          <w:tcPr>
            <w:tcW w:w="850" w:type="dxa"/>
            <w:tcBorders>
              <w:top w:val="nil"/>
              <w:left w:val="nil"/>
              <w:bottom w:val="nil"/>
              <w:right w:val="nil"/>
            </w:tcBorders>
            <w:vAlign w:val="bottom"/>
          </w:tcPr>
          <w:p w14:paraId="4B0FA6AD"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bCs/>
                <w:sz w:val="18"/>
                <w:szCs w:val="18"/>
                <w:lang w:eastAsia="en-IE"/>
              </w:rPr>
            </w:pPr>
          </w:p>
        </w:tc>
        <w:tc>
          <w:tcPr>
            <w:tcW w:w="1276" w:type="dxa"/>
            <w:tcBorders>
              <w:top w:val="nil"/>
              <w:left w:val="nil"/>
              <w:bottom w:val="nil"/>
              <w:right w:val="nil"/>
            </w:tcBorders>
          </w:tcPr>
          <w:p w14:paraId="327A0747"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bCs/>
                <w:sz w:val="18"/>
                <w:szCs w:val="18"/>
                <w:lang w:eastAsia="en-IE"/>
              </w:rPr>
            </w:pPr>
          </w:p>
        </w:tc>
        <w:tc>
          <w:tcPr>
            <w:tcW w:w="851" w:type="dxa"/>
            <w:tcBorders>
              <w:top w:val="nil"/>
              <w:left w:val="nil"/>
              <w:bottom w:val="nil"/>
              <w:right w:val="nil"/>
            </w:tcBorders>
            <w:noWrap/>
            <w:tcMar>
              <w:top w:w="15" w:type="dxa"/>
              <w:left w:w="15" w:type="dxa"/>
              <w:bottom w:w="0" w:type="dxa"/>
              <w:right w:w="15" w:type="dxa"/>
            </w:tcMar>
            <w:vAlign w:val="bottom"/>
          </w:tcPr>
          <w:p w14:paraId="0E75ECC3"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bCs/>
                <w:sz w:val="18"/>
                <w:szCs w:val="18"/>
                <w:lang w:eastAsia="en-IE"/>
              </w:rPr>
            </w:pPr>
          </w:p>
        </w:tc>
        <w:tc>
          <w:tcPr>
            <w:tcW w:w="708" w:type="dxa"/>
            <w:tcBorders>
              <w:top w:val="nil"/>
              <w:left w:val="nil"/>
              <w:bottom w:val="nil"/>
              <w:right w:val="nil"/>
            </w:tcBorders>
            <w:noWrap/>
            <w:tcMar>
              <w:top w:w="15" w:type="dxa"/>
              <w:left w:w="15" w:type="dxa"/>
              <w:bottom w:w="0" w:type="dxa"/>
              <w:right w:w="15" w:type="dxa"/>
            </w:tcMar>
            <w:vAlign w:val="bottom"/>
          </w:tcPr>
          <w:p w14:paraId="5D08B0A2"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bCs/>
                <w:sz w:val="18"/>
                <w:szCs w:val="18"/>
                <w:lang w:eastAsia="en-IE"/>
              </w:rPr>
            </w:pPr>
          </w:p>
        </w:tc>
      </w:tr>
      <w:tr w:rsidR="00EE0F87" w:rsidRPr="00EE0F87" w14:paraId="4CD144FF" w14:textId="77777777" w:rsidTr="00897EB6">
        <w:trPr>
          <w:trHeight w:val="365"/>
        </w:trPr>
        <w:tc>
          <w:tcPr>
            <w:tcW w:w="2835" w:type="dxa"/>
            <w:tcBorders>
              <w:top w:val="nil"/>
              <w:left w:val="nil"/>
              <w:bottom w:val="nil"/>
              <w:right w:val="nil"/>
            </w:tcBorders>
            <w:noWrap/>
            <w:tcMar>
              <w:top w:w="15" w:type="dxa"/>
              <w:left w:w="15" w:type="dxa"/>
              <w:bottom w:w="0" w:type="dxa"/>
              <w:right w:w="15" w:type="dxa"/>
            </w:tcMar>
            <w:vAlign w:val="bottom"/>
          </w:tcPr>
          <w:p w14:paraId="3FDB6B56"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Arial Unicode MS" w:hAnsi="Times New Roman" w:cs="Times New Roman"/>
                <w:b/>
                <w:bCs/>
                <w:sz w:val="18"/>
                <w:szCs w:val="18"/>
                <w:lang w:eastAsia="en-IE"/>
              </w:rPr>
            </w:pPr>
          </w:p>
        </w:tc>
        <w:tc>
          <w:tcPr>
            <w:tcW w:w="851" w:type="dxa"/>
            <w:tcBorders>
              <w:top w:val="nil"/>
              <w:left w:val="nil"/>
              <w:bottom w:val="nil"/>
              <w:right w:val="nil"/>
            </w:tcBorders>
            <w:noWrap/>
            <w:tcMar>
              <w:top w:w="15" w:type="dxa"/>
              <w:left w:w="15" w:type="dxa"/>
              <w:bottom w:w="0" w:type="dxa"/>
              <w:right w:w="15" w:type="dxa"/>
            </w:tcMar>
            <w:vAlign w:val="bottom"/>
          </w:tcPr>
          <w:p w14:paraId="5FB193B0"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Arial Unicode MS" w:hAnsi="Times New Roman" w:cs="Times New Roman"/>
                <w:sz w:val="18"/>
                <w:szCs w:val="18"/>
                <w:lang w:eastAsia="en-IE"/>
              </w:rPr>
            </w:pPr>
          </w:p>
        </w:tc>
        <w:tc>
          <w:tcPr>
            <w:tcW w:w="1134" w:type="dxa"/>
            <w:tcBorders>
              <w:top w:val="nil"/>
              <w:left w:val="nil"/>
              <w:bottom w:val="nil"/>
              <w:right w:val="nil"/>
            </w:tcBorders>
            <w:noWrap/>
            <w:tcMar>
              <w:top w:w="15" w:type="dxa"/>
              <w:left w:w="15" w:type="dxa"/>
              <w:bottom w:w="0" w:type="dxa"/>
              <w:right w:w="15" w:type="dxa"/>
            </w:tcMar>
            <w:vAlign w:val="bottom"/>
          </w:tcPr>
          <w:p w14:paraId="3A7BB1C9"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bCs/>
                <w:sz w:val="18"/>
                <w:szCs w:val="18"/>
                <w:lang w:eastAsia="en-IE"/>
              </w:rPr>
            </w:pPr>
          </w:p>
        </w:tc>
        <w:tc>
          <w:tcPr>
            <w:tcW w:w="850" w:type="dxa"/>
            <w:tcBorders>
              <w:top w:val="nil"/>
              <w:left w:val="nil"/>
              <w:bottom w:val="nil"/>
              <w:right w:val="nil"/>
            </w:tcBorders>
            <w:vAlign w:val="bottom"/>
          </w:tcPr>
          <w:p w14:paraId="3660469C"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bCs/>
                <w:sz w:val="18"/>
                <w:szCs w:val="18"/>
                <w:lang w:eastAsia="en-IE"/>
              </w:rPr>
            </w:pPr>
          </w:p>
        </w:tc>
        <w:tc>
          <w:tcPr>
            <w:tcW w:w="1276" w:type="dxa"/>
            <w:tcBorders>
              <w:top w:val="nil"/>
              <w:left w:val="nil"/>
              <w:bottom w:val="nil"/>
              <w:right w:val="nil"/>
            </w:tcBorders>
          </w:tcPr>
          <w:p w14:paraId="2681994D"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bCs/>
                <w:sz w:val="18"/>
                <w:szCs w:val="18"/>
                <w:lang w:eastAsia="en-IE"/>
              </w:rPr>
            </w:pPr>
          </w:p>
        </w:tc>
        <w:tc>
          <w:tcPr>
            <w:tcW w:w="851" w:type="dxa"/>
            <w:tcBorders>
              <w:top w:val="nil"/>
              <w:left w:val="nil"/>
              <w:bottom w:val="nil"/>
              <w:right w:val="nil"/>
            </w:tcBorders>
            <w:noWrap/>
            <w:tcMar>
              <w:top w:w="15" w:type="dxa"/>
              <w:left w:w="15" w:type="dxa"/>
              <w:bottom w:w="0" w:type="dxa"/>
              <w:right w:w="15" w:type="dxa"/>
            </w:tcMar>
            <w:vAlign w:val="bottom"/>
          </w:tcPr>
          <w:p w14:paraId="54E2F584"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bCs/>
                <w:sz w:val="18"/>
                <w:szCs w:val="18"/>
                <w:lang w:eastAsia="en-IE"/>
              </w:rPr>
            </w:pPr>
          </w:p>
        </w:tc>
        <w:tc>
          <w:tcPr>
            <w:tcW w:w="708" w:type="dxa"/>
            <w:tcBorders>
              <w:top w:val="nil"/>
              <w:left w:val="nil"/>
              <w:bottom w:val="nil"/>
              <w:right w:val="nil"/>
            </w:tcBorders>
            <w:noWrap/>
            <w:tcMar>
              <w:top w:w="15" w:type="dxa"/>
              <w:left w:w="15" w:type="dxa"/>
              <w:bottom w:w="0" w:type="dxa"/>
              <w:right w:w="15" w:type="dxa"/>
            </w:tcMar>
            <w:vAlign w:val="bottom"/>
          </w:tcPr>
          <w:p w14:paraId="21F19AED"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bCs/>
                <w:sz w:val="18"/>
                <w:szCs w:val="18"/>
                <w:lang w:eastAsia="en-IE"/>
              </w:rPr>
            </w:pPr>
          </w:p>
        </w:tc>
      </w:tr>
      <w:tr w:rsidR="00EE0F87" w:rsidRPr="00EE0F87" w14:paraId="57BE3F74" w14:textId="77777777" w:rsidTr="00897EB6">
        <w:trPr>
          <w:trHeight w:val="259"/>
        </w:trPr>
        <w:tc>
          <w:tcPr>
            <w:tcW w:w="2835" w:type="dxa"/>
            <w:tcBorders>
              <w:top w:val="nil"/>
              <w:left w:val="nil"/>
              <w:bottom w:val="nil"/>
              <w:right w:val="nil"/>
            </w:tcBorders>
            <w:noWrap/>
            <w:tcMar>
              <w:top w:w="15" w:type="dxa"/>
              <w:left w:w="15" w:type="dxa"/>
              <w:bottom w:w="0" w:type="dxa"/>
              <w:right w:w="15" w:type="dxa"/>
            </w:tcMar>
            <w:vAlign w:val="bottom"/>
          </w:tcPr>
          <w:p w14:paraId="1350CEBE"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Arial Unicode MS" w:hAnsi="Times New Roman" w:cs="Times New Roman"/>
                <w:b/>
                <w:bCs/>
                <w:sz w:val="18"/>
                <w:szCs w:val="18"/>
                <w:lang w:eastAsia="en-IE"/>
              </w:rPr>
            </w:pPr>
          </w:p>
        </w:tc>
        <w:tc>
          <w:tcPr>
            <w:tcW w:w="851" w:type="dxa"/>
            <w:tcBorders>
              <w:top w:val="nil"/>
              <w:left w:val="nil"/>
              <w:bottom w:val="nil"/>
              <w:right w:val="nil"/>
            </w:tcBorders>
            <w:noWrap/>
            <w:tcMar>
              <w:top w:w="15" w:type="dxa"/>
              <w:left w:w="15" w:type="dxa"/>
              <w:bottom w:w="0" w:type="dxa"/>
              <w:right w:w="15" w:type="dxa"/>
            </w:tcMar>
            <w:vAlign w:val="bottom"/>
          </w:tcPr>
          <w:p w14:paraId="1E181C47"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bCs/>
                <w:sz w:val="18"/>
                <w:szCs w:val="18"/>
                <w:lang w:eastAsia="en-IE"/>
              </w:rPr>
            </w:pPr>
            <w:r w:rsidRPr="00EE0F87">
              <w:rPr>
                <w:rFonts w:ascii="Times New Roman" w:eastAsia="Times New Roman" w:hAnsi="Times New Roman" w:cs="Times New Roman"/>
                <w:b/>
                <w:bCs/>
                <w:sz w:val="18"/>
                <w:szCs w:val="18"/>
                <w:lang w:eastAsia="en-IE"/>
              </w:rPr>
              <w:t>Share</w:t>
            </w:r>
          </w:p>
        </w:tc>
        <w:tc>
          <w:tcPr>
            <w:tcW w:w="1134" w:type="dxa"/>
            <w:tcBorders>
              <w:top w:val="nil"/>
              <w:left w:val="nil"/>
              <w:bottom w:val="nil"/>
              <w:right w:val="nil"/>
            </w:tcBorders>
            <w:noWrap/>
            <w:tcMar>
              <w:top w:w="15" w:type="dxa"/>
              <w:left w:w="15" w:type="dxa"/>
              <w:bottom w:w="0" w:type="dxa"/>
              <w:right w:w="15" w:type="dxa"/>
            </w:tcMar>
            <w:vAlign w:val="bottom"/>
          </w:tcPr>
          <w:p w14:paraId="1E018DB0"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bCs/>
                <w:sz w:val="18"/>
                <w:szCs w:val="18"/>
                <w:lang w:eastAsia="en-IE"/>
              </w:rPr>
            </w:pPr>
            <w:r w:rsidRPr="00EE0F87">
              <w:rPr>
                <w:rFonts w:ascii="Times New Roman" w:eastAsia="Times New Roman" w:hAnsi="Times New Roman" w:cs="Times New Roman"/>
                <w:b/>
                <w:bCs/>
                <w:sz w:val="18"/>
                <w:szCs w:val="18"/>
                <w:lang w:eastAsia="en-IE"/>
              </w:rPr>
              <w:t xml:space="preserve">Share </w:t>
            </w:r>
          </w:p>
        </w:tc>
        <w:tc>
          <w:tcPr>
            <w:tcW w:w="850" w:type="dxa"/>
            <w:tcBorders>
              <w:top w:val="nil"/>
              <w:left w:val="nil"/>
              <w:bottom w:val="nil"/>
              <w:right w:val="nil"/>
            </w:tcBorders>
            <w:vAlign w:val="bottom"/>
          </w:tcPr>
          <w:p w14:paraId="3CA54DC3"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bCs/>
                <w:sz w:val="18"/>
                <w:szCs w:val="18"/>
                <w:lang w:eastAsia="en-IE"/>
              </w:rPr>
            </w:pPr>
            <w:r w:rsidRPr="00EE0F87">
              <w:rPr>
                <w:rFonts w:ascii="Times New Roman" w:eastAsia="Times New Roman" w:hAnsi="Times New Roman" w:cs="Times New Roman"/>
                <w:b/>
                <w:bCs/>
                <w:sz w:val="18"/>
                <w:szCs w:val="18"/>
                <w:lang w:eastAsia="en-IE"/>
              </w:rPr>
              <w:t>Other</w:t>
            </w:r>
          </w:p>
        </w:tc>
        <w:tc>
          <w:tcPr>
            <w:tcW w:w="1276" w:type="dxa"/>
            <w:tcBorders>
              <w:top w:val="nil"/>
              <w:left w:val="nil"/>
              <w:bottom w:val="nil"/>
              <w:right w:val="nil"/>
            </w:tcBorders>
          </w:tcPr>
          <w:p w14:paraId="2CA50DDA"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bCs/>
                <w:sz w:val="18"/>
                <w:szCs w:val="18"/>
                <w:lang w:eastAsia="en-IE"/>
              </w:rPr>
            </w:pPr>
            <w:r w:rsidRPr="00EE0F87">
              <w:rPr>
                <w:rFonts w:ascii="Times New Roman" w:eastAsia="Times New Roman" w:hAnsi="Times New Roman" w:cs="Times New Roman"/>
                <w:b/>
                <w:bCs/>
                <w:sz w:val="18"/>
                <w:szCs w:val="18"/>
                <w:lang w:eastAsia="en-IE"/>
              </w:rPr>
              <w:t xml:space="preserve">Other </w:t>
            </w:r>
          </w:p>
          <w:p w14:paraId="53114022"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bCs/>
                <w:sz w:val="18"/>
                <w:szCs w:val="18"/>
                <w:lang w:eastAsia="en-IE"/>
              </w:rPr>
            </w:pPr>
            <w:r w:rsidRPr="00EE0F87">
              <w:rPr>
                <w:rFonts w:ascii="Times New Roman" w:eastAsia="Times New Roman" w:hAnsi="Times New Roman" w:cs="Times New Roman"/>
                <w:b/>
                <w:bCs/>
                <w:sz w:val="18"/>
                <w:szCs w:val="18"/>
                <w:lang w:eastAsia="en-IE"/>
              </w:rPr>
              <w:t>Distributable</w:t>
            </w:r>
          </w:p>
        </w:tc>
        <w:tc>
          <w:tcPr>
            <w:tcW w:w="851" w:type="dxa"/>
            <w:tcBorders>
              <w:top w:val="nil"/>
              <w:left w:val="nil"/>
              <w:bottom w:val="nil"/>
              <w:right w:val="nil"/>
            </w:tcBorders>
            <w:noWrap/>
            <w:tcMar>
              <w:top w:w="15" w:type="dxa"/>
              <w:left w:w="15" w:type="dxa"/>
              <w:bottom w:w="0" w:type="dxa"/>
              <w:right w:w="15" w:type="dxa"/>
            </w:tcMar>
            <w:vAlign w:val="bottom"/>
          </w:tcPr>
          <w:p w14:paraId="57D62D52"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bCs/>
                <w:sz w:val="18"/>
                <w:szCs w:val="18"/>
                <w:lang w:eastAsia="en-IE"/>
              </w:rPr>
            </w:pPr>
            <w:r w:rsidRPr="00EE0F87">
              <w:rPr>
                <w:rFonts w:ascii="Times New Roman" w:eastAsia="Times New Roman" w:hAnsi="Times New Roman" w:cs="Times New Roman"/>
                <w:b/>
                <w:bCs/>
                <w:sz w:val="18"/>
                <w:szCs w:val="18"/>
                <w:lang w:eastAsia="en-IE"/>
              </w:rPr>
              <w:t xml:space="preserve">Retained </w:t>
            </w:r>
          </w:p>
        </w:tc>
        <w:tc>
          <w:tcPr>
            <w:tcW w:w="708" w:type="dxa"/>
            <w:tcBorders>
              <w:top w:val="nil"/>
              <w:left w:val="nil"/>
              <w:bottom w:val="nil"/>
              <w:right w:val="nil"/>
            </w:tcBorders>
            <w:noWrap/>
            <w:tcMar>
              <w:top w:w="15" w:type="dxa"/>
              <w:left w:w="15" w:type="dxa"/>
              <w:bottom w:w="0" w:type="dxa"/>
              <w:right w:w="15" w:type="dxa"/>
            </w:tcMar>
            <w:vAlign w:val="bottom"/>
          </w:tcPr>
          <w:p w14:paraId="4E957BE1"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bCs/>
                <w:sz w:val="18"/>
                <w:szCs w:val="18"/>
                <w:lang w:eastAsia="en-IE"/>
              </w:rPr>
            </w:pPr>
          </w:p>
        </w:tc>
      </w:tr>
      <w:tr w:rsidR="00EE0F87" w:rsidRPr="00EE0F87" w14:paraId="1530CA8A" w14:textId="77777777" w:rsidTr="00897EB6">
        <w:trPr>
          <w:trHeight w:val="259"/>
        </w:trPr>
        <w:tc>
          <w:tcPr>
            <w:tcW w:w="2835" w:type="dxa"/>
            <w:tcBorders>
              <w:top w:val="nil"/>
              <w:left w:val="nil"/>
              <w:bottom w:val="nil"/>
              <w:right w:val="nil"/>
            </w:tcBorders>
            <w:noWrap/>
            <w:tcMar>
              <w:top w:w="15" w:type="dxa"/>
              <w:left w:w="15" w:type="dxa"/>
              <w:bottom w:w="0" w:type="dxa"/>
              <w:right w:w="15" w:type="dxa"/>
            </w:tcMar>
            <w:vAlign w:val="bottom"/>
          </w:tcPr>
          <w:p w14:paraId="38952161"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Arial Unicode MS" w:hAnsi="Times New Roman" w:cs="Times New Roman"/>
                <w:b/>
                <w:bCs/>
                <w:sz w:val="18"/>
                <w:szCs w:val="18"/>
                <w:lang w:eastAsia="en-IE"/>
              </w:rPr>
            </w:pPr>
          </w:p>
        </w:tc>
        <w:tc>
          <w:tcPr>
            <w:tcW w:w="851" w:type="dxa"/>
            <w:tcBorders>
              <w:top w:val="nil"/>
              <w:left w:val="nil"/>
              <w:bottom w:val="nil"/>
              <w:right w:val="nil"/>
            </w:tcBorders>
            <w:noWrap/>
            <w:tcMar>
              <w:top w:w="15" w:type="dxa"/>
              <w:left w:w="15" w:type="dxa"/>
              <w:bottom w:w="0" w:type="dxa"/>
              <w:right w:w="15" w:type="dxa"/>
            </w:tcMar>
            <w:vAlign w:val="bottom"/>
          </w:tcPr>
          <w:p w14:paraId="4C2E50B7"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bCs/>
                <w:sz w:val="18"/>
                <w:szCs w:val="18"/>
                <w:lang w:eastAsia="en-IE"/>
              </w:rPr>
            </w:pPr>
            <w:r w:rsidRPr="00EE0F87">
              <w:rPr>
                <w:rFonts w:ascii="Times New Roman" w:eastAsia="Times New Roman" w:hAnsi="Times New Roman" w:cs="Times New Roman"/>
                <w:b/>
                <w:bCs/>
                <w:sz w:val="18"/>
                <w:szCs w:val="18"/>
                <w:lang w:eastAsia="en-IE"/>
              </w:rPr>
              <w:t>capital</w:t>
            </w:r>
          </w:p>
        </w:tc>
        <w:tc>
          <w:tcPr>
            <w:tcW w:w="1134" w:type="dxa"/>
            <w:tcBorders>
              <w:top w:val="nil"/>
              <w:left w:val="nil"/>
              <w:bottom w:val="nil"/>
              <w:right w:val="nil"/>
            </w:tcBorders>
            <w:noWrap/>
            <w:tcMar>
              <w:top w:w="15" w:type="dxa"/>
              <w:left w:w="15" w:type="dxa"/>
              <w:bottom w:w="0" w:type="dxa"/>
              <w:right w:w="15" w:type="dxa"/>
            </w:tcMar>
            <w:vAlign w:val="bottom"/>
          </w:tcPr>
          <w:p w14:paraId="27DB6B73"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bCs/>
                <w:sz w:val="18"/>
                <w:szCs w:val="18"/>
                <w:lang w:eastAsia="en-IE"/>
              </w:rPr>
            </w:pPr>
            <w:r w:rsidRPr="00EE0F87">
              <w:rPr>
                <w:rFonts w:ascii="Times New Roman" w:eastAsia="Times New Roman" w:hAnsi="Times New Roman" w:cs="Times New Roman"/>
                <w:b/>
                <w:bCs/>
                <w:sz w:val="18"/>
                <w:szCs w:val="18"/>
                <w:lang w:eastAsia="en-IE"/>
              </w:rPr>
              <w:t>premium</w:t>
            </w:r>
          </w:p>
        </w:tc>
        <w:tc>
          <w:tcPr>
            <w:tcW w:w="850" w:type="dxa"/>
            <w:tcBorders>
              <w:top w:val="nil"/>
              <w:left w:val="nil"/>
              <w:bottom w:val="nil"/>
              <w:right w:val="nil"/>
            </w:tcBorders>
            <w:vAlign w:val="bottom"/>
          </w:tcPr>
          <w:p w14:paraId="27B5F4FE"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bCs/>
                <w:sz w:val="18"/>
                <w:szCs w:val="18"/>
                <w:lang w:eastAsia="en-IE"/>
              </w:rPr>
            </w:pPr>
            <w:r w:rsidRPr="00EE0F87">
              <w:rPr>
                <w:rFonts w:ascii="Times New Roman" w:eastAsia="Times New Roman" w:hAnsi="Times New Roman" w:cs="Times New Roman"/>
                <w:b/>
                <w:bCs/>
                <w:sz w:val="18"/>
                <w:szCs w:val="18"/>
                <w:lang w:eastAsia="en-IE"/>
              </w:rPr>
              <w:t>Reserves</w:t>
            </w:r>
          </w:p>
        </w:tc>
        <w:tc>
          <w:tcPr>
            <w:tcW w:w="1276" w:type="dxa"/>
            <w:tcBorders>
              <w:top w:val="nil"/>
              <w:left w:val="nil"/>
              <w:bottom w:val="nil"/>
              <w:right w:val="nil"/>
            </w:tcBorders>
          </w:tcPr>
          <w:p w14:paraId="0A84826D"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bCs/>
                <w:sz w:val="18"/>
                <w:szCs w:val="18"/>
                <w:lang w:eastAsia="en-IE"/>
              </w:rPr>
            </w:pPr>
            <w:r w:rsidRPr="00EE0F87">
              <w:rPr>
                <w:rFonts w:ascii="Times New Roman" w:eastAsia="Times New Roman" w:hAnsi="Times New Roman" w:cs="Times New Roman"/>
                <w:b/>
                <w:bCs/>
                <w:sz w:val="18"/>
                <w:szCs w:val="18"/>
                <w:lang w:eastAsia="en-IE"/>
              </w:rPr>
              <w:t>Reserve</w:t>
            </w:r>
          </w:p>
        </w:tc>
        <w:tc>
          <w:tcPr>
            <w:tcW w:w="851" w:type="dxa"/>
            <w:tcBorders>
              <w:top w:val="nil"/>
              <w:left w:val="nil"/>
              <w:bottom w:val="nil"/>
              <w:right w:val="nil"/>
            </w:tcBorders>
            <w:noWrap/>
            <w:tcMar>
              <w:top w:w="15" w:type="dxa"/>
              <w:left w:w="15" w:type="dxa"/>
              <w:bottom w:w="0" w:type="dxa"/>
              <w:right w:w="15" w:type="dxa"/>
            </w:tcMar>
            <w:vAlign w:val="bottom"/>
          </w:tcPr>
          <w:p w14:paraId="188C5462"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bCs/>
                <w:sz w:val="18"/>
                <w:szCs w:val="18"/>
                <w:lang w:eastAsia="en-IE"/>
              </w:rPr>
            </w:pPr>
            <w:r w:rsidRPr="00EE0F87">
              <w:rPr>
                <w:rFonts w:ascii="Times New Roman" w:eastAsia="Times New Roman" w:hAnsi="Times New Roman" w:cs="Times New Roman"/>
                <w:b/>
                <w:bCs/>
                <w:sz w:val="18"/>
                <w:szCs w:val="18"/>
                <w:lang w:eastAsia="en-IE"/>
              </w:rPr>
              <w:t>Earnings</w:t>
            </w:r>
          </w:p>
        </w:tc>
        <w:tc>
          <w:tcPr>
            <w:tcW w:w="708" w:type="dxa"/>
            <w:tcBorders>
              <w:top w:val="nil"/>
              <w:left w:val="nil"/>
              <w:bottom w:val="nil"/>
              <w:right w:val="nil"/>
            </w:tcBorders>
            <w:noWrap/>
            <w:tcMar>
              <w:top w:w="15" w:type="dxa"/>
              <w:left w:w="15" w:type="dxa"/>
              <w:bottom w:w="0" w:type="dxa"/>
              <w:right w:w="15" w:type="dxa"/>
            </w:tcMar>
            <w:vAlign w:val="bottom"/>
          </w:tcPr>
          <w:p w14:paraId="5A8E03B3"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bCs/>
                <w:sz w:val="18"/>
                <w:szCs w:val="18"/>
                <w:lang w:eastAsia="en-IE"/>
              </w:rPr>
            </w:pPr>
            <w:r w:rsidRPr="00EE0F87">
              <w:rPr>
                <w:rFonts w:ascii="Times New Roman" w:eastAsia="Times New Roman" w:hAnsi="Times New Roman" w:cs="Times New Roman"/>
                <w:b/>
                <w:bCs/>
                <w:sz w:val="18"/>
                <w:szCs w:val="18"/>
                <w:lang w:eastAsia="en-IE"/>
              </w:rPr>
              <w:t>Total</w:t>
            </w:r>
          </w:p>
        </w:tc>
      </w:tr>
      <w:tr w:rsidR="00EE0F87" w:rsidRPr="00EE0F87" w14:paraId="5978E6CA" w14:textId="77777777" w:rsidTr="00897EB6">
        <w:trPr>
          <w:trHeight w:val="259"/>
        </w:trPr>
        <w:tc>
          <w:tcPr>
            <w:tcW w:w="2835" w:type="dxa"/>
            <w:tcBorders>
              <w:top w:val="nil"/>
              <w:left w:val="nil"/>
              <w:bottom w:val="nil"/>
              <w:right w:val="nil"/>
            </w:tcBorders>
            <w:noWrap/>
            <w:tcMar>
              <w:top w:w="15" w:type="dxa"/>
              <w:left w:w="15" w:type="dxa"/>
              <w:bottom w:w="0" w:type="dxa"/>
              <w:right w:w="15" w:type="dxa"/>
            </w:tcMar>
            <w:vAlign w:val="bottom"/>
          </w:tcPr>
          <w:p w14:paraId="0BD6C1D0"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Arial Unicode MS" w:hAnsi="Times New Roman" w:cs="Times New Roman"/>
                <w:sz w:val="18"/>
                <w:szCs w:val="18"/>
                <w:lang w:eastAsia="en-IE"/>
              </w:rPr>
            </w:pPr>
          </w:p>
        </w:tc>
        <w:tc>
          <w:tcPr>
            <w:tcW w:w="851" w:type="dxa"/>
            <w:tcBorders>
              <w:top w:val="nil"/>
              <w:left w:val="nil"/>
              <w:bottom w:val="single" w:sz="4" w:space="0" w:color="auto"/>
              <w:right w:val="nil"/>
            </w:tcBorders>
            <w:noWrap/>
            <w:tcMar>
              <w:top w:w="15" w:type="dxa"/>
              <w:left w:w="15" w:type="dxa"/>
              <w:bottom w:w="0" w:type="dxa"/>
              <w:right w:w="15" w:type="dxa"/>
            </w:tcMar>
          </w:tcPr>
          <w:p w14:paraId="48D60C73"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bCs/>
                <w:sz w:val="18"/>
                <w:szCs w:val="18"/>
                <w:lang w:eastAsia="en-IE"/>
              </w:rPr>
            </w:pPr>
            <w:r w:rsidRPr="00EE0F87">
              <w:rPr>
                <w:rFonts w:ascii="Times New Roman" w:eastAsia="Times New Roman" w:hAnsi="Times New Roman" w:cs="Times New Roman"/>
                <w:b/>
                <w:bCs/>
                <w:sz w:val="18"/>
                <w:szCs w:val="18"/>
                <w:lang w:eastAsia="en-IE"/>
              </w:rPr>
              <w:t>£'000</w:t>
            </w:r>
          </w:p>
        </w:tc>
        <w:tc>
          <w:tcPr>
            <w:tcW w:w="1134" w:type="dxa"/>
            <w:tcBorders>
              <w:top w:val="nil"/>
              <w:left w:val="nil"/>
              <w:bottom w:val="single" w:sz="4" w:space="0" w:color="auto"/>
              <w:right w:val="nil"/>
            </w:tcBorders>
            <w:noWrap/>
            <w:tcMar>
              <w:top w:w="15" w:type="dxa"/>
              <w:left w:w="15" w:type="dxa"/>
              <w:bottom w:w="0" w:type="dxa"/>
              <w:right w:w="15" w:type="dxa"/>
            </w:tcMar>
          </w:tcPr>
          <w:p w14:paraId="56A860FB"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bCs/>
                <w:sz w:val="18"/>
                <w:szCs w:val="18"/>
                <w:lang w:eastAsia="en-IE"/>
              </w:rPr>
            </w:pPr>
            <w:r w:rsidRPr="00EE0F87">
              <w:rPr>
                <w:rFonts w:ascii="Times New Roman" w:eastAsia="Times New Roman" w:hAnsi="Times New Roman" w:cs="Times New Roman"/>
                <w:b/>
                <w:bCs/>
                <w:sz w:val="18"/>
                <w:szCs w:val="18"/>
                <w:lang w:eastAsia="en-IE"/>
              </w:rPr>
              <w:t>£'000</w:t>
            </w:r>
          </w:p>
        </w:tc>
        <w:tc>
          <w:tcPr>
            <w:tcW w:w="850" w:type="dxa"/>
            <w:tcBorders>
              <w:top w:val="nil"/>
              <w:left w:val="nil"/>
              <w:bottom w:val="single" w:sz="4" w:space="0" w:color="auto"/>
              <w:right w:val="nil"/>
            </w:tcBorders>
          </w:tcPr>
          <w:p w14:paraId="149D68C9"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bCs/>
                <w:sz w:val="18"/>
                <w:szCs w:val="18"/>
                <w:lang w:eastAsia="en-IE"/>
              </w:rPr>
            </w:pPr>
            <w:r w:rsidRPr="00EE0F87">
              <w:rPr>
                <w:rFonts w:ascii="Times New Roman" w:eastAsia="Times New Roman" w:hAnsi="Times New Roman" w:cs="Times New Roman"/>
                <w:b/>
                <w:bCs/>
                <w:sz w:val="18"/>
                <w:szCs w:val="18"/>
                <w:lang w:eastAsia="en-IE"/>
              </w:rPr>
              <w:t>£'000</w:t>
            </w:r>
          </w:p>
        </w:tc>
        <w:tc>
          <w:tcPr>
            <w:tcW w:w="1276" w:type="dxa"/>
            <w:tcBorders>
              <w:top w:val="nil"/>
              <w:left w:val="nil"/>
              <w:bottom w:val="single" w:sz="4" w:space="0" w:color="auto"/>
              <w:right w:val="nil"/>
            </w:tcBorders>
          </w:tcPr>
          <w:p w14:paraId="75C99433"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bCs/>
                <w:sz w:val="18"/>
                <w:szCs w:val="18"/>
                <w:lang w:eastAsia="en-IE"/>
              </w:rPr>
            </w:pPr>
            <w:r w:rsidRPr="00EE0F87">
              <w:rPr>
                <w:rFonts w:ascii="Times New Roman" w:eastAsia="Times New Roman" w:hAnsi="Times New Roman" w:cs="Times New Roman"/>
                <w:b/>
                <w:bCs/>
                <w:sz w:val="18"/>
                <w:szCs w:val="18"/>
                <w:lang w:eastAsia="en-IE"/>
              </w:rPr>
              <w:t>£’000</w:t>
            </w:r>
          </w:p>
        </w:tc>
        <w:tc>
          <w:tcPr>
            <w:tcW w:w="851" w:type="dxa"/>
            <w:tcBorders>
              <w:top w:val="nil"/>
              <w:left w:val="nil"/>
              <w:bottom w:val="single" w:sz="4" w:space="0" w:color="auto"/>
              <w:right w:val="nil"/>
            </w:tcBorders>
            <w:noWrap/>
            <w:tcMar>
              <w:top w:w="15" w:type="dxa"/>
              <w:left w:w="15" w:type="dxa"/>
              <w:bottom w:w="0" w:type="dxa"/>
              <w:right w:w="15" w:type="dxa"/>
            </w:tcMar>
          </w:tcPr>
          <w:p w14:paraId="514756AC"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bCs/>
                <w:sz w:val="18"/>
                <w:szCs w:val="18"/>
                <w:lang w:eastAsia="en-IE"/>
              </w:rPr>
            </w:pPr>
            <w:r w:rsidRPr="00EE0F87">
              <w:rPr>
                <w:rFonts w:ascii="Times New Roman" w:eastAsia="Times New Roman" w:hAnsi="Times New Roman" w:cs="Times New Roman"/>
                <w:b/>
                <w:bCs/>
                <w:sz w:val="18"/>
                <w:szCs w:val="18"/>
                <w:lang w:eastAsia="en-IE"/>
              </w:rPr>
              <w:t>£'000</w:t>
            </w:r>
            <w:r w:rsidRPr="00EE0F87">
              <w:rPr>
                <w:rFonts w:ascii="Times New Roman" w:eastAsia="Arial Unicode MS" w:hAnsi="Times New Roman" w:cs="Times New Roman"/>
                <w:b/>
                <w:bCs/>
                <w:sz w:val="18"/>
                <w:szCs w:val="18"/>
                <w:lang w:eastAsia="en-IE"/>
              </w:rPr>
              <w:t xml:space="preserve"> </w:t>
            </w:r>
          </w:p>
        </w:tc>
        <w:tc>
          <w:tcPr>
            <w:tcW w:w="708" w:type="dxa"/>
            <w:tcBorders>
              <w:top w:val="nil"/>
              <w:left w:val="nil"/>
              <w:bottom w:val="single" w:sz="4" w:space="0" w:color="auto"/>
              <w:right w:val="nil"/>
            </w:tcBorders>
            <w:noWrap/>
            <w:tcMar>
              <w:top w:w="15" w:type="dxa"/>
              <w:left w:w="15" w:type="dxa"/>
              <w:bottom w:w="0" w:type="dxa"/>
              <w:right w:w="15" w:type="dxa"/>
            </w:tcMar>
          </w:tcPr>
          <w:p w14:paraId="38D4DEEC"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bCs/>
                <w:sz w:val="18"/>
                <w:szCs w:val="18"/>
                <w:lang w:eastAsia="en-IE"/>
              </w:rPr>
            </w:pPr>
            <w:r w:rsidRPr="00EE0F87">
              <w:rPr>
                <w:rFonts w:ascii="Times New Roman" w:eastAsia="Times New Roman" w:hAnsi="Times New Roman" w:cs="Times New Roman"/>
                <w:b/>
                <w:bCs/>
                <w:sz w:val="18"/>
                <w:szCs w:val="18"/>
                <w:lang w:eastAsia="en-IE"/>
              </w:rPr>
              <w:t>£'000</w:t>
            </w:r>
          </w:p>
        </w:tc>
      </w:tr>
      <w:tr w:rsidR="00EE0F87" w:rsidRPr="00EE0F87" w14:paraId="3E606660" w14:textId="77777777" w:rsidTr="00897EB6">
        <w:trPr>
          <w:trHeight w:val="259"/>
        </w:trPr>
        <w:tc>
          <w:tcPr>
            <w:tcW w:w="2835" w:type="dxa"/>
            <w:tcBorders>
              <w:top w:val="nil"/>
              <w:left w:val="nil"/>
              <w:bottom w:val="nil"/>
            </w:tcBorders>
            <w:noWrap/>
            <w:tcMar>
              <w:top w:w="15" w:type="dxa"/>
              <w:left w:w="15" w:type="dxa"/>
              <w:bottom w:w="0" w:type="dxa"/>
              <w:right w:w="15" w:type="dxa"/>
            </w:tcMar>
            <w:vAlign w:val="bottom"/>
          </w:tcPr>
          <w:p w14:paraId="0E3AB22C"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Arial Unicode MS" w:hAnsi="Times New Roman" w:cs="Times New Roman"/>
                <w:b/>
                <w:sz w:val="18"/>
                <w:szCs w:val="18"/>
                <w:lang w:eastAsia="en-IE"/>
              </w:rPr>
            </w:pPr>
            <w:r w:rsidRPr="00EE0F87">
              <w:rPr>
                <w:rFonts w:ascii="Times New Roman" w:eastAsia="Times New Roman" w:hAnsi="Times New Roman" w:cs="Times New Roman"/>
                <w:b/>
                <w:sz w:val="18"/>
                <w:szCs w:val="18"/>
                <w:lang w:eastAsia="en-IE"/>
              </w:rPr>
              <w:t>At 1 January 2021</w:t>
            </w:r>
          </w:p>
        </w:tc>
        <w:tc>
          <w:tcPr>
            <w:tcW w:w="851" w:type="dxa"/>
            <w:tcBorders>
              <w:top w:val="single" w:sz="4" w:space="0" w:color="auto"/>
              <w:bottom w:val="single" w:sz="4" w:space="0" w:color="auto"/>
              <w:right w:val="nil"/>
            </w:tcBorders>
            <w:noWrap/>
            <w:tcMar>
              <w:top w:w="15" w:type="dxa"/>
              <w:left w:w="15" w:type="dxa"/>
              <w:bottom w:w="0" w:type="dxa"/>
              <w:right w:w="15" w:type="dxa"/>
            </w:tcMar>
            <w:vAlign w:val="bottom"/>
          </w:tcPr>
          <w:p w14:paraId="7CD1ECD7"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sz w:val="18"/>
                <w:szCs w:val="18"/>
                <w:lang w:eastAsia="en-IE"/>
              </w:rPr>
              <w:t>5,640</w:t>
            </w:r>
          </w:p>
        </w:tc>
        <w:tc>
          <w:tcPr>
            <w:tcW w:w="1134"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1C77F06A"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sz w:val="18"/>
                <w:szCs w:val="18"/>
                <w:lang w:eastAsia="en-IE"/>
              </w:rPr>
              <w:t>7,321</w:t>
            </w:r>
          </w:p>
        </w:tc>
        <w:tc>
          <w:tcPr>
            <w:tcW w:w="850" w:type="dxa"/>
            <w:tcBorders>
              <w:top w:val="single" w:sz="4" w:space="0" w:color="auto"/>
              <w:left w:val="nil"/>
              <w:bottom w:val="single" w:sz="4" w:space="0" w:color="auto"/>
              <w:right w:val="nil"/>
            </w:tcBorders>
            <w:vAlign w:val="bottom"/>
          </w:tcPr>
          <w:p w14:paraId="404ED32C"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18"/>
                <w:szCs w:val="18"/>
                <w:lang w:eastAsia="en-IE"/>
              </w:rPr>
            </w:pPr>
            <w:r w:rsidRPr="00EE0F87">
              <w:rPr>
                <w:rFonts w:ascii="Times New Roman" w:eastAsia="Times New Roman" w:hAnsi="Times New Roman" w:cs="Times New Roman"/>
                <w:b/>
                <w:sz w:val="18"/>
                <w:szCs w:val="18"/>
                <w:lang w:eastAsia="en-IE"/>
              </w:rPr>
              <w:t>141</w:t>
            </w:r>
          </w:p>
        </w:tc>
        <w:tc>
          <w:tcPr>
            <w:tcW w:w="1276" w:type="dxa"/>
            <w:tcBorders>
              <w:top w:val="single" w:sz="4" w:space="0" w:color="auto"/>
              <w:left w:val="nil"/>
              <w:bottom w:val="single" w:sz="4" w:space="0" w:color="auto"/>
              <w:right w:val="nil"/>
            </w:tcBorders>
          </w:tcPr>
          <w:p w14:paraId="2B080F75"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sz w:val="18"/>
                <w:szCs w:val="18"/>
                <w:lang w:eastAsia="en-IE"/>
              </w:rPr>
              <w:t>-</w:t>
            </w:r>
          </w:p>
        </w:tc>
        <w:tc>
          <w:tcPr>
            <w:tcW w:w="851"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6F45D87D"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sz w:val="18"/>
                <w:szCs w:val="18"/>
                <w:lang w:eastAsia="en-IE"/>
              </w:rPr>
              <w:t>5,750</w:t>
            </w:r>
          </w:p>
        </w:tc>
        <w:tc>
          <w:tcPr>
            <w:tcW w:w="708" w:type="dxa"/>
            <w:tcBorders>
              <w:top w:val="single" w:sz="4" w:space="0" w:color="auto"/>
              <w:left w:val="nil"/>
              <w:bottom w:val="single" w:sz="4" w:space="0" w:color="auto"/>
            </w:tcBorders>
            <w:noWrap/>
            <w:tcMar>
              <w:top w:w="15" w:type="dxa"/>
              <w:left w:w="15" w:type="dxa"/>
              <w:bottom w:w="0" w:type="dxa"/>
              <w:right w:w="15" w:type="dxa"/>
            </w:tcMar>
            <w:vAlign w:val="bottom"/>
          </w:tcPr>
          <w:p w14:paraId="658F1D35"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sz w:val="18"/>
                <w:szCs w:val="18"/>
                <w:lang w:eastAsia="en-IE"/>
              </w:rPr>
              <w:t>18,852</w:t>
            </w:r>
          </w:p>
        </w:tc>
      </w:tr>
      <w:tr w:rsidR="00EE0F87" w:rsidRPr="00EE0F87" w14:paraId="103528CE" w14:textId="77777777" w:rsidTr="00897EB6">
        <w:trPr>
          <w:trHeight w:val="66"/>
        </w:trPr>
        <w:tc>
          <w:tcPr>
            <w:tcW w:w="2835" w:type="dxa"/>
            <w:tcBorders>
              <w:top w:val="nil"/>
              <w:left w:val="nil"/>
              <w:bottom w:val="nil"/>
              <w:right w:val="nil"/>
            </w:tcBorders>
            <w:noWrap/>
            <w:tcMar>
              <w:top w:w="15" w:type="dxa"/>
              <w:left w:w="15" w:type="dxa"/>
              <w:bottom w:w="0" w:type="dxa"/>
              <w:right w:w="15" w:type="dxa"/>
            </w:tcMar>
            <w:vAlign w:val="bottom"/>
          </w:tcPr>
          <w:p w14:paraId="13444ED7"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Arial Unicode MS" w:hAnsi="Times New Roman" w:cs="Times New Roman"/>
                <w:sz w:val="18"/>
                <w:szCs w:val="18"/>
                <w:lang w:eastAsia="en-IE"/>
              </w:rPr>
            </w:pPr>
            <w:r w:rsidRPr="00EE0F87">
              <w:rPr>
                <w:rFonts w:ascii="Times New Roman" w:eastAsia="Times New Roman" w:hAnsi="Times New Roman" w:cs="Times New Roman"/>
                <w:sz w:val="18"/>
                <w:szCs w:val="18"/>
                <w:lang w:eastAsia="en-IE"/>
              </w:rPr>
              <w:t>Profit for the financial year</w:t>
            </w:r>
          </w:p>
        </w:tc>
        <w:tc>
          <w:tcPr>
            <w:tcW w:w="851" w:type="dxa"/>
            <w:tcBorders>
              <w:top w:val="single" w:sz="4" w:space="0" w:color="auto"/>
              <w:left w:val="nil"/>
              <w:right w:val="nil"/>
            </w:tcBorders>
            <w:noWrap/>
            <w:tcMar>
              <w:top w:w="15" w:type="dxa"/>
              <w:left w:w="15" w:type="dxa"/>
              <w:bottom w:w="0" w:type="dxa"/>
              <w:right w:w="15" w:type="dxa"/>
            </w:tcMar>
            <w:vAlign w:val="bottom"/>
          </w:tcPr>
          <w:p w14:paraId="3E91390A"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p>
          <w:p w14:paraId="6446118B"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w:t>
            </w:r>
          </w:p>
        </w:tc>
        <w:tc>
          <w:tcPr>
            <w:tcW w:w="1134" w:type="dxa"/>
            <w:tcBorders>
              <w:top w:val="single" w:sz="4" w:space="0" w:color="auto"/>
              <w:left w:val="nil"/>
              <w:right w:val="nil"/>
            </w:tcBorders>
            <w:noWrap/>
            <w:tcMar>
              <w:top w:w="15" w:type="dxa"/>
              <w:left w:w="15" w:type="dxa"/>
              <w:bottom w:w="0" w:type="dxa"/>
              <w:right w:w="15" w:type="dxa"/>
            </w:tcMar>
            <w:vAlign w:val="bottom"/>
          </w:tcPr>
          <w:p w14:paraId="6F1BE453"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w:t>
            </w:r>
          </w:p>
        </w:tc>
        <w:tc>
          <w:tcPr>
            <w:tcW w:w="850" w:type="dxa"/>
            <w:tcBorders>
              <w:top w:val="single" w:sz="4" w:space="0" w:color="auto"/>
              <w:left w:val="nil"/>
              <w:right w:val="nil"/>
            </w:tcBorders>
            <w:vAlign w:val="bottom"/>
          </w:tcPr>
          <w:p w14:paraId="1C133466"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18"/>
                <w:lang w:eastAsia="en-IE"/>
              </w:rPr>
            </w:pPr>
            <w:r w:rsidRPr="00EE0F87">
              <w:rPr>
                <w:rFonts w:ascii="Times New Roman" w:eastAsia="Times New Roman" w:hAnsi="Times New Roman" w:cs="Times New Roman"/>
                <w:sz w:val="18"/>
                <w:szCs w:val="18"/>
                <w:lang w:eastAsia="en-IE"/>
              </w:rPr>
              <w:t>-</w:t>
            </w:r>
          </w:p>
        </w:tc>
        <w:tc>
          <w:tcPr>
            <w:tcW w:w="1276" w:type="dxa"/>
            <w:tcBorders>
              <w:top w:val="single" w:sz="4" w:space="0" w:color="auto"/>
              <w:left w:val="nil"/>
              <w:right w:val="nil"/>
            </w:tcBorders>
          </w:tcPr>
          <w:p w14:paraId="27CDE46E"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w:t>
            </w:r>
          </w:p>
        </w:tc>
        <w:tc>
          <w:tcPr>
            <w:tcW w:w="851" w:type="dxa"/>
            <w:tcBorders>
              <w:top w:val="single" w:sz="4" w:space="0" w:color="auto"/>
              <w:left w:val="nil"/>
              <w:right w:val="nil"/>
            </w:tcBorders>
            <w:noWrap/>
            <w:tcMar>
              <w:top w:w="15" w:type="dxa"/>
              <w:left w:w="15" w:type="dxa"/>
              <w:bottom w:w="0" w:type="dxa"/>
              <w:right w:w="15" w:type="dxa"/>
            </w:tcMar>
            <w:vAlign w:val="bottom"/>
          </w:tcPr>
          <w:p w14:paraId="20C10C5B"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38,067</w:t>
            </w:r>
          </w:p>
        </w:tc>
        <w:tc>
          <w:tcPr>
            <w:tcW w:w="708" w:type="dxa"/>
            <w:tcBorders>
              <w:top w:val="single" w:sz="4" w:space="0" w:color="auto"/>
              <w:left w:val="nil"/>
              <w:right w:val="nil"/>
            </w:tcBorders>
            <w:noWrap/>
            <w:tcMar>
              <w:top w:w="15" w:type="dxa"/>
              <w:left w:w="15" w:type="dxa"/>
              <w:bottom w:w="0" w:type="dxa"/>
              <w:right w:w="15" w:type="dxa"/>
            </w:tcMar>
            <w:vAlign w:val="bottom"/>
          </w:tcPr>
          <w:p w14:paraId="2903C1F9" w14:textId="1E2FFBB1"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38,</w:t>
            </w:r>
            <w:r w:rsidR="00EE04B2">
              <w:rPr>
                <w:rFonts w:ascii="Times New Roman" w:eastAsia="Arial Unicode MS" w:hAnsi="Times New Roman" w:cs="Times New Roman"/>
                <w:sz w:val="18"/>
                <w:szCs w:val="18"/>
                <w:lang w:eastAsia="en-IE"/>
              </w:rPr>
              <w:t>06</w:t>
            </w:r>
            <w:r w:rsidRPr="00EE0F87">
              <w:rPr>
                <w:rFonts w:ascii="Times New Roman" w:eastAsia="Arial Unicode MS" w:hAnsi="Times New Roman" w:cs="Times New Roman"/>
                <w:sz w:val="18"/>
                <w:szCs w:val="18"/>
                <w:lang w:eastAsia="en-IE"/>
              </w:rPr>
              <w:t>7</w:t>
            </w:r>
          </w:p>
        </w:tc>
      </w:tr>
      <w:tr w:rsidR="00EE0F87" w:rsidRPr="00EE0F87" w14:paraId="43B5CD8C" w14:textId="77777777" w:rsidTr="00897EB6">
        <w:trPr>
          <w:trHeight w:val="66"/>
        </w:trPr>
        <w:tc>
          <w:tcPr>
            <w:tcW w:w="2835" w:type="dxa"/>
            <w:tcBorders>
              <w:top w:val="nil"/>
              <w:left w:val="nil"/>
              <w:bottom w:val="nil"/>
              <w:right w:val="nil"/>
            </w:tcBorders>
            <w:noWrap/>
            <w:tcMar>
              <w:top w:w="15" w:type="dxa"/>
              <w:left w:w="15" w:type="dxa"/>
              <w:bottom w:w="0" w:type="dxa"/>
              <w:right w:w="15" w:type="dxa"/>
            </w:tcMar>
            <w:vAlign w:val="bottom"/>
          </w:tcPr>
          <w:p w14:paraId="626B14EA"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en-IE"/>
              </w:rPr>
            </w:pPr>
            <w:r w:rsidRPr="00EE0F87">
              <w:rPr>
                <w:rFonts w:ascii="Times New Roman" w:eastAsia="Times New Roman" w:hAnsi="Times New Roman" w:cs="Times New Roman"/>
                <w:sz w:val="18"/>
                <w:szCs w:val="18"/>
                <w:lang w:eastAsia="en-IE"/>
              </w:rPr>
              <w:t>Foreign exchange loss</w:t>
            </w:r>
          </w:p>
        </w:tc>
        <w:tc>
          <w:tcPr>
            <w:tcW w:w="851" w:type="dxa"/>
            <w:tcBorders>
              <w:left w:val="nil"/>
              <w:bottom w:val="single" w:sz="4" w:space="0" w:color="auto"/>
              <w:right w:val="nil"/>
            </w:tcBorders>
            <w:noWrap/>
            <w:tcMar>
              <w:top w:w="15" w:type="dxa"/>
              <w:left w:w="15" w:type="dxa"/>
              <w:bottom w:w="0" w:type="dxa"/>
              <w:right w:w="15" w:type="dxa"/>
            </w:tcMar>
            <w:vAlign w:val="bottom"/>
          </w:tcPr>
          <w:p w14:paraId="410E4A0C"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w:t>
            </w:r>
          </w:p>
        </w:tc>
        <w:tc>
          <w:tcPr>
            <w:tcW w:w="1134" w:type="dxa"/>
            <w:tcBorders>
              <w:left w:val="nil"/>
              <w:bottom w:val="single" w:sz="4" w:space="0" w:color="auto"/>
              <w:right w:val="nil"/>
            </w:tcBorders>
            <w:noWrap/>
            <w:tcMar>
              <w:top w:w="15" w:type="dxa"/>
              <w:left w:w="15" w:type="dxa"/>
              <w:bottom w:w="0" w:type="dxa"/>
              <w:right w:w="15" w:type="dxa"/>
            </w:tcMar>
            <w:vAlign w:val="bottom"/>
          </w:tcPr>
          <w:p w14:paraId="5C3B7D8F"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w:t>
            </w:r>
          </w:p>
        </w:tc>
        <w:tc>
          <w:tcPr>
            <w:tcW w:w="850" w:type="dxa"/>
            <w:tcBorders>
              <w:left w:val="nil"/>
              <w:bottom w:val="single" w:sz="4" w:space="0" w:color="auto"/>
              <w:right w:val="nil"/>
            </w:tcBorders>
            <w:vAlign w:val="bottom"/>
          </w:tcPr>
          <w:p w14:paraId="714CB090"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18"/>
                <w:lang w:eastAsia="en-IE"/>
              </w:rPr>
            </w:pPr>
            <w:r w:rsidRPr="00EE0F87">
              <w:rPr>
                <w:rFonts w:ascii="Times New Roman" w:eastAsia="Times New Roman" w:hAnsi="Times New Roman" w:cs="Times New Roman"/>
                <w:sz w:val="18"/>
                <w:szCs w:val="18"/>
                <w:lang w:eastAsia="en-IE"/>
              </w:rPr>
              <w:t>(355)</w:t>
            </w:r>
          </w:p>
        </w:tc>
        <w:tc>
          <w:tcPr>
            <w:tcW w:w="1276" w:type="dxa"/>
            <w:tcBorders>
              <w:left w:val="nil"/>
              <w:bottom w:val="single" w:sz="4" w:space="0" w:color="auto"/>
              <w:right w:val="nil"/>
            </w:tcBorders>
          </w:tcPr>
          <w:p w14:paraId="261E6772"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w:t>
            </w:r>
          </w:p>
        </w:tc>
        <w:tc>
          <w:tcPr>
            <w:tcW w:w="851" w:type="dxa"/>
            <w:tcBorders>
              <w:left w:val="nil"/>
              <w:bottom w:val="single" w:sz="4" w:space="0" w:color="auto"/>
              <w:right w:val="nil"/>
            </w:tcBorders>
            <w:noWrap/>
            <w:tcMar>
              <w:top w:w="15" w:type="dxa"/>
              <w:left w:w="15" w:type="dxa"/>
              <w:bottom w:w="0" w:type="dxa"/>
              <w:right w:w="15" w:type="dxa"/>
            </w:tcMar>
            <w:vAlign w:val="bottom"/>
          </w:tcPr>
          <w:p w14:paraId="77733FE0"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w:t>
            </w:r>
          </w:p>
        </w:tc>
        <w:tc>
          <w:tcPr>
            <w:tcW w:w="708" w:type="dxa"/>
            <w:tcBorders>
              <w:left w:val="nil"/>
              <w:bottom w:val="single" w:sz="4" w:space="0" w:color="auto"/>
              <w:right w:val="nil"/>
            </w:tcBorders>
            <w:noWrap/>
            <w:tcMar>
              <w:top w:w="15" w:type="dxa"/>
              <w:left w:w="15" w:type="dxa"/>
              <w:bottom w:w="0" w:type="dxa"/>
              <w:right w:w="15" w:type="dxa"/>
            </w:tcMar>
            <w:vAlign w:val="bottom"/>
          </w:tcPr>
          <w:p w14:paraId="1B666ECF"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(355)</w:t>
            </w:r>
          </w:p>
        </w:tc>
      </w:tr>
      <w:tr w:rsidR="00EE0F87" w:rsidRPr="00EE0F87" w14:paraId="3BBDB839" w14:textId="77777777" w:rsidTr="00897EB6">
        <w:trPr>
          <w:trHeight w:val="259"/>
        </w:trPr>
        <w:tc>
          <w:tcPr>
            <w:tcW w:w="2835" w:type="dxa"/>
            <w:tcBorders>
              <w:top w:val="nil"/>
              <w:left w:val="nil"/>
              <w:bottom w:val="nil"/>
              <w:right w:val="nil"/>
            </w:tcBorders>
            <w:noWrap/>
            <w:tcMar>
              <w:top w:w="15" w:type="dxa"/>
              <w:left w:w="15" w:type="dxa"/>
              <w:bottom w:w="0" w:type="dxa"/>
              <w:right w:w="15" w:type="dxa"/>
            </w:tcMar>
            <w:vAlign w:val="bottom"/>
          </w:tcPr>
          <w:p w14:paraId="309B3F3D"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18"/>
                <w:szCs w:val="18"/>
                <w:lang w:eastAsia="en-IE"/>
              </w:rPr>
            </w:pPr>
          </w:p>
          <w:p w14:paraId="4ED5D6A9"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18"/>
                <w:szCs w:val="18"/>
                <w:lang w:eastAsia="en-IE"/>
              </w:rPr>
            </w:pPr>
            <w:r w:rsidRPr="00EE0F87">
              <w:rPr>
                <w:rFonts w:ascii="Times New Roman" w:eastAsia="Times New Roman" w:hAnsi="Times New Roman" w:cs="Times New Roman"/>
                <w:b/>
                <w:sz w:val="18"/>
                <w:szCs w:val="18"/>
                <w:lang w:eastAsia="en-IE"/>
              </w:rPr>
              <w:t>Total comprehensive income for the financial year</w:t>
            </w:r>
          </w:p>
        </w:tc>
        <w:tc>
          <w:tcPr>
            <w:tcW w:w="851" w:type="dxa"/>
            <w:tcBorders>
              <w:top w:val="single" w:sz="4" w:space="0" w:color="auto"/>
              <w:left w:val="nil"/>
              <w:right w:val="nil"/>
            </w:tcBorders>
            <w:noWrap/>
            <w:tcMar>
              <w:top w:w="15" w:type="dxa"/>
              <w:left w:w="15" w:type="dxa"/>
              <w:bottom w:w="0" w:type="dxa"/>
              <w:right w:w="15" w:type="dxa"/>
            </w:tcMar>
            <w:vAlign w:val="bottom"/>
          </w:tcPr>
          <w:p w14:paraId="7C98E084"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sz w:val="18"/>
                <w:szCs w:val="18"/>
                <w:lang w:eastAsia="en-IE"/>
              </w:rPr>
              <w:t>-</w:t>
            </w:r>
          </w:p>
        </w:tc>
        <w:tc>
          <w:tcPr>
            <w:tcW w:w="1134" w:type="dxa"/>
            <w:tcBorders>
              <w:top w:val="single" w:sz="4" w:space="0" w:color="auto"/>
              <w:left w:val="nil"/>
              <w:right w:val="nil"/>
            </w:tcBorders>
            <w:noWrap/>
            <w:tcMar>
              <w:top w:w="15" w:type="dxa"/>
              <w:left w:w="15" w:type="dxa"/>
              <w:bottom w:w="0" w:type="dxa"/>
              <w:right w:w="15" w:type="dxa"/>
            </w:tcMar>
            <w:vAlign w:val="bottom"/>
          </w:tcPr>
          <w:p w14:paraId="0FEA20F7"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sz w:val="18"/>
                <w:szCs w:val="18"/>
                <w:lang w:eastAsia="en-IE"/>
              </w:rPr>
              <w:t>-</w:t>
            </w:r>
          </w:p>
        </w:tc>
        <w:tc>
          <w:tcPr>
            <w:tcW w:w="850" w:type="dxa"/>
            <w:tcBorders>
              <w:top w:val="single" w:sz="4" w:space="0" w:color="auto"/>
              <w:left w:val="nil"/>
              <w:right w:val="nil"/>
            </w:tcBorders>
            <w:vAlign w:val="bottom"/>
          </w:tcPr>
          <w:p w14:paraId="23FF64B2"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sz w:val="18"/>
                <w:szCs w:val="18"/>
                <w:lang w:eastAsia="en-IE"/>
              </w:rPr>
              <w:t>(355)</w:t>
            </w:r>
          </w:p>
        </w:tc>
        <w:tc>
          <w:tcPr>
            <w:tcW w:w="1276" w:type="dxa"/>
            <w:tcBorders>
              <w:top w:val="single" w:sz="4" w:space="0" w:color="auto"/>
              <w:left w:val="nil"/>
              <w:right w:val="nil"/>
            </w:tcBorders>
          </w:tcPr>
          <w:p w14:paraId="17C6C6A6"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p>
          <w:p w14:paraId="3FBF9ACF"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p>
          <w:p w14:paraId="34A2BC22"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sz w:val="18"/>
                <w:szCs w:val="18"/>
                <w:lang w:eastAsia="en-IE"/>
              </w:rPr>
              <w:t>-</w:t>
            </w:r>
          </w:p>
        </w:tc>
        <w:tc>
          <w:tcPr>
            <w:tcW w:w="851" w:type="dxa"/>
            <w:tcBorders>
              <w:top w:val="single" w:sz="4" w:space="0" w:color="auto"/>
              <w:left w:val="nil"/>
              <w:right w:val="nil"/>
            </w:tcBorders>
            <w:noWrap/>
            <w:tcMar>
              <w:top w:w="15" w:type="dxa"/>
              <w:left w:w="15" w:type="dxa"/>
              <w:bottom w:w="0" w:type="dxa"/>
              <w:right w:w="15" w:type="dxa"/>
            </w:tcMar>
            <w:vAlign w:val="bottom"/>
          </w:tcPr>
          <w:p w14:paraId="62184263"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sz w:val="18"/>
                <w:szCs w:val="18"/>
                <w:lang w:eastAsia="en-IE"/>
              </w:rPr>
              <w:t>38,067</w:t>
            </w:r>
          </w:p>
        </w:tc>
        <w:tc>
          <w:tcPr>
            <w:tcW w:w="708" w:type="dxa"/>
            <w:tcBorders>
              <w:top w:val="single" w:sz="4" w:space="0" w:color="auto"/>
              <w:left w:val="nil"/>
              <w:right w:val="nil"/>
            </w:tcBorders>
            <w:noWrap/>
            <w:tcMar>
              <w:top w:w="15" w:type="dxa"/>
              <w:left w:w="15" w:type="dxa"/>
              <w:bottom w:w="0" w:type="dxa"/>
              <w:right w:w="15" w:type="dxa"/>
            </w:tcMar>
            <w:vAlign w:val="bottom"/>
          </w:tcPr>
          <w:p w14:paraId="57B7A83B"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sz w:val="18"/>
                <w:szCs w:val="18"/>
                <w:lang w:eastAsia="en-IE"/>
              </w:rPr>
              <w:t>37,712</w:t>
            </w:r>
          </w:p>
        </w:tc>
      </w:tr>
      <w:tr w:rsidR="00EE0F87" w:rsidRPr="00EE0F87" w14:paraId="7BDC176C" w14:textId="77777777" w:rsidTr="00897EB6">
        <w:trPr>
          <w:trHeight w:val="259"/>
        </w:trPr>
        <w:tc>
          <w:tcPr>
            <w:tcW w:w="2835" w:type="dxa"/>
            <w:tcBorders>
              <w:top w:val="nil"/>
              <w:left w:val="nil"/>
              <w:bottom w:val="nil"/>
              <w:right w:val="nil"/>
            </w:tcBorders>
            <w:noWrap/>
            <w:tcMar>
              <w:top w:w="15" w:type="dxa"/>
              <w:left w:w="15" w:type="dxa"/>
              <w:bottom w:w="0" w:type="dxa"/>
              <w:right w:w="15" w:type="dxa"/>
            </w:tcMar>
            <w:vAlign w:val="bottom"/>
          </w:tcPr>
          <w:p w14:paraId="785145E9"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en-IE"/>
              </w:rPr>
            </w:pPr>
            <w:r w:rsidRPr="00EE0F87">
              <w:rPr>
                <w:rFonts w:ascii="Times New Roman" w:eastAsia="Times New Roman" w:hAnsi="Times New Roman" w:cs="Times New Roman"/>
                <w:sz w:val="18"/>
                <w:szCs w:val="18"/>
                <w:lang w:eastAsia="en-IE"/>
              </w:rPr>
              <w:t>Equity dividends paid</w:t>
            </w:r>
          </w:p>
          <w:p w14:paraId="60F3E85D"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en-IE"/>
              </w:rPr>
            </w:pPr>
            <w:r w:rsidRPr="00EE0F87">
              <w:rPr>
                <w:rFonts w:ascii="Times New Roman" w:eastAsia="Times New Roman" w:hAnsi="Times New Roman" w:cs="Times New Roman"/>
                <w:sz w:val="18"/>
                <w:szCs w:val="18"/>
                <w:lang w:eastAsia="en-IE"/>
              </w:rPr>
              <w:t>Capital redemption</w:t>
            </w:r>
          </w:p>
          <w:p w14:paraId="08262735"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en-IE"/>
              </w:rPr>
            </w:pPr>
            <w:r w:rsidRPr="00EE0F87">
              <w:rPr>
                <w:rFonts w:ascii="Times New Roman" w:eastAsia="Times New Roman" w:hAnsi="Times New Roman" w:cs="Times New Roman"/>
                <w:sz w:val="18"/>
                <w:szCs w:val="18"/>
                <w:lang w:eastAsia="en-IE"/>
              </w:rPr>
              <w:t>Gain on capital redemption in JSOP</w:t>
            </w:r>
          </w:p>
          <w:p w14:paraId="3ABAD38D"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Arial Unicode MS" w:hAnsi="Times New Roman" w:cs="Times New Roman"/>
                <w:sz w:val="18"/>
                <w:szCs w:val="18"/>
                <w:lang w:eastAsia="en-IE"/>
              </w:rPr>
            </w:pPr>
            <w:r w:rsidRPr="00EE0F87">
              <w:rPr>
                <w:rFonts w:ascii="Times New Roman" w:eastAsia="Times New Roman" w:hAnsi="Times New Roman" w:cs="Times New Roman"/>
                <w:sz w:val="18"/>
                <w:szCs w:val="18"/>
                <w:lang w:eastAsia="en-IE"/>
              </w:rPr>
              <w:t>Reduction in capital</w:t>
            </w:r>
          </w:p>
        </w:tc>
        <w:tc>
          <w:tcPr>
            <w:tcW w:w="851" w:type="dxa"/>
            <w:tcBorders>
              <w:top w:val="nil"/>
              <w:left w:val="nil"/>
              <w:right w:val="nil"/>
            </w:tcBorders>
            <w:noWrap/>
            <w:tcMar>
              <w:top w:w="15" w:type="dxa"/>
              <w:left w:w="15" w:type="dxa"/>
              <w:bottom w:w="0" w:type="dxa"/>
              <w:right w:w="15" w:type="dxa"/>
            </w:tcMar>
            <w:vAlign w:val="bottom"/>
          </w:tcPr>
          <w:p w14:paraId="2C52A403"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w:t>
            </w:r>
          </w:p>
          <w:p w14:paraId="796ACE1E"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w:t>
            </w:r>
          </w:p>
          <w:p w14:paraId="11725C99"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w:t>
            </w:r>
          </w:p>
          <w:p w14:paraId="6B570B42"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(5,076)</w:t>
            </w:r>
          </w:p>
        </w:tc>
        <w:tc>
          <w:tcPr>
            <w:tcW w:w="1134" w:type="dxa"/>
            <w:tcBorders>
              <w:top w:val="nil"/>
              <w:left w:val="nil"/>
              <w:right w:val="nil"/>
            </w:tcBorders>
            <w:noWrap/>
            <w:tcMar>
              <w:top w:w="15" w:type="dxa"/>
              <w:left w:w="15" w:type="dxa"/>
              <w:bottom w:w="0" w:type="dxa"/>
              <w:right w:w="15" w:type="dxa"/>
            </w:tcMar>
            <w:vAlign w:val="bottom"/>
          </w:tcPr>
          <w:p w14:paraId="0557CD3B"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w:t>
            </w:r>
          </w:p>
          <w:p w14:paraId="1468F36E"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w:t>
            </w:r>
          </w:p>
          <w:p w14:paraId="194F6FC5"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w:t>
            </w:r>
          </w:p>
          <w:p w14:paraId="177FA3DF"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(7,321)</w:t>
            </w:r>
          </w:p>
        </w:tc>
        <w:tc>
          <w:tcPr>
            <w:tcW w:w="850" w:type="dxa"/>
            <w:tcBorders>
              <w:top w:val="nil"/>
              <w:left w:val="nil"/>
              <w:right w:val="nil"/>
            </w:tcBorders>
            <w:vAlign w:val="bottom"/>
          </w:tcPr>
          <w:p w14:paraId="16BE6A8C"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w:t>
            </w:r>
          </w:p>
          <w:p w14:paraId="220A29BE"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w:t>
            </w:r>
          </w:p>
          <w:p w14:paraId="7AF0304B"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w:t>
            </w:r>
          </w:p>
          <w:p w14:paraId="6B799804"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(23)</w:t>
            </w:r>
          </w:p>
        </w:tc>
        <w:tc>
          <w:tcPr>
            <w:tcW w:w="1276" w:type="dxa"/>
            <w:tcBorders>
              <w:top w:val="nil"/>
              <w:left w:val="nil"/>
              <w:right w:val="nil"/>
            </w:tcBorders>
          </w:tcPr>
          <w:p w14:paraId="32C9CB83"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p>
          <w:p w14:paraId="02913663"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w:t>
            </w:r>
          </w:p>
          <w:p w14:paraId="17E0269F"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(12,420)</w:t>
            </w:r>
          </w:p>
          <w:p w14:paraId="0D364D27"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w:t>
            </w:r>
          </w:p>
          <w:p w14:paraId="773A7BCD"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12,420</w:t>
            </w:r>
          </w:p>
        </w:tc>
        <w:tc>
          <w:tcPr>
            <w:tcW w:w="851" w:type="dxa"/>
            <w:tcBorders>
              <w:top w:val="nil"/>
              <w:left w:val="nil"/>
              <w:right w:val="nil"/>
            </w:tcBorders>
            <w:noWrap/>
            <w:tcMar>
              <w:top w:w="15" w:type="dxa"/>
              <w:left w:w="15" w:type="dxa"/>
              <w:bottom w:w="0" w:type="dxa"/>
              <w:right w:w="15" w:type="dxa"/>
            </w:tcMar>
            <w:vAlign w:val="bottom"/>
          </w:tcPr>
          <w:p w14:paraId="19AC4EE0"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(510)</w:t>
            </w:r>
          </w:p>
          <w:p w14:paraId="025AB455"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(37,497)</w:t>
            </w:r>
          </w:p>
          <w:p w14:paraId="6CC4C2E5"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642</w:t>
            </w:r>
          </w:p>
          <w:p w14:paraId="5375B6DD"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w:t>
            </w:r>
          </w:p>
        </w:tc>
        <w:tc>
          <w:tcPr>
            <w:tcW w:w="708" w:type="dxa"/>
            <w:tcBorders>
              <w:top w:val="nil"/>
              <w:left w:val="nil"/>
              <w:right w:val="nil"/>
            </w:tcBorders>
            <w:noWrap/>
            <w:tcMar>
              <w:top w:w="15" w:type="dxa"/>
              <w:left w:w="15" w:type="dxa"/>
              <w:bottom w:w="0" w:type="dxa"/>
              <w:right w:w="15" w:type="dxa"/>
            </w:tcMar>
            <w:vAlign w:val="bottom"/>
          </w:tcPr>
          <w:p w14:paraId="65F52DCD"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(510)</w:t>
            </w:r>
          </w:p>
          <w:p w14:paraId="09EAF26F"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 xml:space="preserve"> (49,917)</w:t>
            </w:r>
          </w:p>
          <w:p w14:paraId="15634174"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642</w:t>
            </w:r>
          </w:p>
          <w:p w14:paraId="1BD2AA4D"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w:t>
            </w:r>
          </w:p>
        </w:tc>
      </w:tr>
      <w:tr w:rsidR="00EE0F87" w:rsidRPr="00EE0F87" w14:paraId="1936133C" w14:textId="77777777" w:rsidTr="00897EB6">
        <w:trPr>
          <w:trHeight w:val="259"/>
        </w:trPr>
        <w:tc>
          <w:tcPr>
            <w:tcW w:w="2835" w:type="dxa"/>
            <w:tcBorders>
              <w:top w:val="nil"/>
              <w:left w:val="nil"/>
              <w:bottom w:val="nil"/>
              <w:right w:val="nil"/>
            </w:tcBorders>
            <w:noWrap/>
            <w:tcMar>
              <w:top w:w="15" w:type="dxa"/>
              <w:left w:w="15" w:type="dxa"/>
              <w:bottom w:w="0" w:type="dxa"/>
              <w:right w:w="15" w:type="dxa"/>
            </w:tcMar>
            <w:vAlign w:val="bottom"/>
          </w:tcPr>
          <w:p w14:paraId="457B8711"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en-IE"/>
              </w:rPr>
            </w:pPr>
          </w:p>
        </w:tc>
        <w:tc>
          <w:tcPr>
            <w:tcW w:w="851" w:type="dxa"/>
            <w:tcBorders>
              <w:left w:val="nil"/>
              <w:right w:val="nil"/>
            </w:tcBorders>
            <w:noWrap/>
            <w:tcMar>
              <w:top w:w="15" w:type="dxa"/>
              <w:left w:w="15" w:type="dxa"/>
              <w:bottom w:w="0" w:type="dxa"/>
              <w:right w:w="15" w:type="dxa"/>
            </w:tcMar>
            <w:vAlign w:val="bottom"/>
          </w:tcPr>
          <w:p w14:paraId="2EF96255"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p>
        </w:tc>
        <w:tc>
          <w:tcPr>
            <w:tcW w:w="1134" w:type="dxa"/>
            <w:tcBorders>
              <w:left w:val="nil"/>
              <w:right w:val="nil"/>
            </w:tcBorders>
            <w:noWrap/>
            <w:tcMar>
              <w:top w:w="15" w:type="dxa"/>
              <w:left w:w="15" w:type="dxa"/>
              <w:bottom w:w="0" w:type="dxa"/>
              <w:right w:w="15" w:type="dxa"/>
            </w:tcMar>
            <w:vAlign w:val="bottom"/>
          </w:tcPr>
          <w:p w14:paraId="303E1179"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p>
        </w:tc>
        <w:tc>
          <w:tcPr>
            <w:tcW w:w="850" w:type="dxa"/>
            <w:tcBorders>
              <w:left w:val="nil"/>
              <w:right w:val="nil"/>
            </w:tcBorders>
            <w:vAlign w:val="bottom"/>
          </w:tcPr>
          <w:p w14:paraId="58312A71"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p>
        </w:tc>
        <w:tc>
          <w:tcPr>
            <w:tcW w:w="1276" w:type="dxa"/>
            <w:tcBorders>
              <w:left w:val="nil"/>
              <w:right w:val="nil"/>
            </w:tcBorders>
          </w:tcPr>
          <w:p w14:paraId="713628EF"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p>
        </w:tc>
        <w:tc>
          <w:tcPr>
            <w:tcW w:w="851" w:type="dxa"/>
            <w:tcBorders>
              <w:left w:val="nil"/>
              <w:right w:val="nil"/>
            </w:tcBorders>
            <w:noWrap/>
            <w:tcMar>
              <w:top w:w="15" w:type="dxa"/>
              <w:left w:w="15" w:type="dxa"/>
              <w:bottom w:w="0" w:type="dxa"/>
              <w:right w:w="15" w:type="dxa"/>
            </w:tcMar>
            <w:vAlign w:val="bottom"/>
          </w:tcPr>
          <w:p w14:paraId="45CD4AA4"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p>
        </w:tc>
        <w:tc>
          <w:tcPr>
            <w:tcW w:w="708" w:type="dxa"/>
            <w:tcBorders>
              <w:left w:val="nil"/>
              <w:right w:val="nil"/>
            </w:tcBorders>
            <w:noWrap/>
            <w:tcMar>
              <w:top w:w="15" w:type="dxa"/>
              <w:left w:w="15" w:type="dxa"/>
              <w:bottom w:w="0" w:type="dxa"/>
              <w:right w:w="15" w:type="dxa"/>
            </w:tcMar>
            <w:vAlign w:val="bottom"/>
          </w:tcPr>
          <w:p w14:paraId="6FB54C1E"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p>
        </w:tc>
      </w:tr>
      <w:tr w:rsidR="00EE0F87" w:rsidRPr="00EE0F87" w14:paraId="19FED8ED" w14:textId="77777777" w:rsidTr="00897EB6">
        <w:trPr>
          <w:trHeight w:val="259"/>
        </w:trPr>
        <w:tc>
          <w:tcPr>
            <w:tcW w:w="2835" w:type="dxa"/>
            <w:tcBorders>
              <w:top w:val="nil"/>
              <w:left w:val="nil"/>
              <w:bottom w:val="nil"/>
              <w:right w:val="nil"/>
            </w:tcBorders>
            <w:noWrap/>
            <w:tcMar>
              <w:top w:w="15" w:type="dxa"/>
              <w:left w:w="15" w:type="dxa"/>
              <w:bottom w:w="0" w:type="dxa"/>
              <w:right w:w="15" w:type="dxa"/>
            </w:tcMar>
            <w:vAlign w:val="bottom"/>
          </w:tcPr>
          <w:p w14:paraId="4A8CB3D9"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18"/>
                <w:szCs w:val="18"/>
                <w:lang w:eastAsia="en-IE"/>
              </w:rPr>
            </w:pPr>
            <w:r w:rsidRPr="00EE0F87">
              <w:rPr>
                <w:rFonts w:ascii="Times New Roman" w:eastAsia="Times New Roman" w:hAnsi="Times New Roman" w:cs="Times New Roman"/>
                <w:b/>
                <w:sz w:val="18"/>
                <w:szCs w:val="18"/>
                <w:lang w:eastAsia="en-IE"/>
              </w:rPr>
              <w:t>Transactions with owners</w:t>
            </w:r>
          </w:p>
        </w:tc>
        <w:tc>
          <w:tcPr>
            <w:tcW w:w="851" w:type="dxa"/>
            <w:tcBorders>
              <w:top w:val="single" w:sz="4" w:space="0" w:color="auto"/>
              <w:left w:val="nil"/>
              <w:bottom w:val="nil"/>
              <w:right w:val="nil"/>
            </w:tcBorders>
            <w:noWrap/>
            <w:tcMar>
              <w:top w:w="15" w:type="dxa"/>
              <w:left w:w="15" w:type="dxa"/>
              <w:bottom w:w="0" w:type="dxa"/>
              <w:right w:w="15" w:type="dxa"/>
            </w:tcMar>
            <w:vAlign w:val="bottom"/>
          </w:tcPr>
          <w:p w14:paraId="12DC5783"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sz w:val="18"/>
                <w:szCs w:val="18"/>
                <w:lang w:eastAsia="en-IE"/>
              </w:rPr>
              <w:t>(5,076)</w:t>
            </w:r>
          </w:p>
        </w:tc>
        <w:tc>
          <w:tcPr>
            <w:tcW w:w="1134" w:type="dxa"/>
            <w:tcBorders>
              <w:top w:val="single" w:sz="4" w:space="0" w:color="auto"/>
              <w:left w:val="nil"/>
              <w:bottom w:val="nil"/>
              <w:right w:val="nil"/>
            </w:tcBorders>
            <w:noWrap/>
            <w:tcMar>
              <w:top w:w="15" w:type="dxa"/>
              <w:left w:w="15" w:type="dxa"/>
              <w:bottom w:w="0" w:type="dxa"/>
              <w:right w:w="15" w:type="dxa"/>
            </w:tcMar>
            <w:vAlign w:val="bottom"/>
          </w:tcPr>
          <w:p w14:paraId="2A16019A"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sz w:val="18"/>
                <w:szCs w:val="18"/>
                <w:lang w:eastAsia="en-IE"/>
              </w:rPr>
              <w:t>(7,321)</w:t>
            </w:r>
          </w:p>
        </w:tc>
        <w:tc>
          <w:tcPr>
            <w:tcW w:w="850" w:type="dxa"/>
            <w:tcBorders>
              <w:top w:val="single" w:sz="4" w:space="0" w:color="auto"/>
              <w:left w:val="nil"/>
              <w:bottom w:val="nil"/>
              <w:right w:val="nil"/>
            </w:tcBorders>
            <w:vAlign w:val="bottom"/>
          </w:tcPr>
          <w:p w14:paraId="29482F96"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sz w:val="18"/>
                <w:szCs w:val="18"/>
                <w:lang w:eastAsia="en-IE"/>
              </w:rPr>
              <w:t>(23)</w:t>
            </w:r>
          </w:p>
        </w:tc>
        <w:tc>
          <w:tcPr>
            <w:tcW w:w="1276" w:type="dxa"/>
            <w:tcBorders>
              <w:top w:val="single" w:sz="4" w:space="0" w:color="auto"/>
              <w:left w:val="nil"/>
              <w:bottom w:val="nil"/>
              <w:right w:val="nil"/>
            </w:tcBorders>
          </w:tcPr>
          <w:p w14:paraId="515661A3"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sz w:val="18"/>
                <w:szCs w:val="18"/>
                <w:lang w:eastAsia="en-IE"/>
              </w:rPr>
              <w:t>-</w:t>
            </w:r>
          </w:p>
        </w:tc>
        <w:tc>
          <w:tcPr>
            <w:tcW w:w="851" w:type="dxa"/>
            <w:tcBorders>
              <w:top w:val="single" w:sz="4" w:space="0" w:color="auto"/>
              <w:left w:val="nil"/>
              <w:bottom w:val="nil"/>
              <w:right w:val="nil"/>
            </w:tcBorders>
            <w:noWrap/>
            <w:tcMar>
              <w:top w:w="15" w:type="dxa"/>
              <w:left w:w="15" w:type="dxa"/>
              <w:bottom w:w="0" w:type="dxa"/>
              <w:right w:w="15" w:type="dxa"/>
            </w:tcMar>
            <w:vAlign w:val="bottom"/>
          </w:tcPr>
          <w:p w14:paraId="79EC8360"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sz w:val="18"/>
                <w:szCs w:val="18"/>
                <w:lang w:eastAsia="en-IE"/>
              </w:rPr>
              <w:t>(37,365)</w:t>
            </w:r>
          </w:p>
        </w:tc>
        <w:tc>
          <w:tcPr>
            <w:tcW w:w="708" w:type="dxa"/>
            <w:tcBorders>
              <w:top w:val="single" w:sz="4" w:space="0" w:color="auto"/>
              <w:left w:val="nil"/>
              <w:bottom w:val="nil"/>
              <w:right w:val="nil"/>
            </w:tcBorders>
            <w:noWrap/>
            <w:tcMar>
              <w:top w:w="15" w:type="dxa"/>
              <w:left w:w="15" w:type="dxa"/>
              <w:bottom w:w="0" w:type="dxa"/>
              <w:right w:w="15" w:type="dxa"/>
            </w:tcMar>
            <w:vAlign w:val="bottom"/>
          </w:tcPr>
          <w:p w14:paraId="0178FFED"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sz w:val="18"/>
                <w:szCs w:val="18"/>
                <w:lang w:eastAsia="en-IE"/>
              </w:rPr>
              <w:t>(49,785)</w:t>
            </w:r>
          </w:p>
        </w:tc>
      </w:tr>
      <w:tr w:rsidR="00EE0F87" w:rsidRPr="00EE0F87" w14:paraId="7301DC7B" w14:textId="77777777" w:rsidTr="00897EB6">
        <w:trPr>
          <w:trHeight w:val="259"/>
        </w:trPr>
        <w:tc>
          <w:tcPr>
            <w:tcW w:w="2835" w:type="dxa"/>
            <w:tcBorders>
              <w:top w:val="nil"/>
              <w:left w:val="nil"/>
              <w:bottom w:val="nil"/>
              <w:right w:val="nil"/>
            </w:tcBorders>
            <w:noWrap/>
            <w:tcMar>
              <w:top w:w="15" w:type="dxa"/>
              <w:left w:w="15" w:type="dxa"/>
              <w:bottom w:w="0" w:type="dxa"/>
              <w:right w:w="15" w:type="dxa"/>
            </w:tcMar>
            <w:vAlign w:val="bottom"/>
          </w:tcPr>
          <w:p w14:paraId="60D4CDEB"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Arial Unicode MS" w:hAnsi="Times New Roman" w:cs="Times New Roman"/>
                <w:b/>
                <w:sz w:val="18"/>
                <w:szCs w:val="18"/>
                <w:lang w:eastAsia="en-IE"/>
              </w:rPr>
            </w:pPr>
            <w:r w:rsidRPr="00EE0F87">
              <w:rPr>
                <w:rFonts w:ascii="Times New Roman" w:eastAsia="Times New Roman" w:hAnsi="Times New Roman" w:cs="Times New Roman"/>
                <w:b/>
                <w:sz w:val="18"/>
                <w:szCs w:val="18"/>
                <w:lang w:eastAsia="en-IE"/>
              </w:rPr>
              <w:t>At 31 December 2021</w:t>
            </w:r>
          </w:p>
        </w:tc>
        <w:tc>
          <w:tcPr>
            <w:tcW w:w="851"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5EECA332"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sz w:val="18"/>
                <w:szCs w:val="18"/>
                <w:lang w:eastAsia="en-IE"/>
              </w:rPr>
              <w:t>564</w:t>
            </w:r>
          </w:p>
        </w:tc>
        <w:tc>
          <w:tcPr>
            <w:tcW w:w="1134"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373DB032"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sz w:val="18"/>
                <w:szCs w:val="18"/>
                <w:lang w:eastAsia="en-IE"/>
              </w:rPr>
              <w:t>-</w:t>
            </w:r>
          </w:p>
        </w:tc>
        <w:tc>
          <w:tcPr>
            <w:tcW w:w="850" w:type="dxa"/>
            <w:tcBorders>
              <w:top w:val="single" w:sz="4" w:space="0" w:color="auto"/>
              <w:left w:val="nil"/>
              <w:bottom w:val="single" w:sz="4" w:space="0" w:color="auto"/>
              <w:right w:val="nil"/>
            </w:tcBorders>
            <w:vAlign w:val="bottom"/>
          </w:tcPr>
          <w:p w14:paraId="549D51BE"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18"/>
                <w:szCs w:val="18"/>
                <w:lang w:eastAsia="en-IE"/>
              </w:rPr>
            </w:pPr>
            <w:r w:rsidRPr="00EE0F87">
              <w:rPr>
                <w:rFonts w:ascii="Times New Roman" w:eastAsia="Times New Roman" w:hAnsi="Times New Roman" w:cs="Times New Roman"/>
                <w:b/>
                <w:sz w:val="18"/>
                <w:szCs w:val="18"/>
                <w:lang w:eastAsia="en-IE"/>
              </w:rPr>
              <w:t>(237)</w:t>
            </w:r>
          </w:p>
        </w:tc>
        <w:tc>
          <w:tcPr>
            <w:tcW w:w="1276" w:type="dxa"/>
            <w:tcBorders>
              <w:top w:val="single" w:sz="4" w:space="0" w:color="auto"/>
              <w:left w:val="nil"/>
              <w:bottom w:val="single" w:sz="4" w:space="0" w:color="auto"/>
              <w:right w:val="nil"/>
            </w:tcBorders>
          </w:tcPr>
          <w:p w14:paraId="3255CF39"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sz w:val="18"/>
                <w:szCs w:val="18"/>
                <w:lang w:eastAsia="en-IE"/>
              </w:rPr>
              <w:t>-</w:t>
            </w:r>
          </w:p>
        </w:tc>
        <w:tc>
          <w:tcPr>
            <w:tcW w:w="851"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20FB9873"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sz w:val="18"/>
                <w:szCs w:val="18"/>
                <w:lang w:eastAsia="en-IE"/>
              </w:rPr>
              <w:t>6,452</w:t>
            </w:r>
          </w:p>
        </w:tc>
        <w:tc>
          <w:tcPr>
            <w:tcW w:w="708"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6F1425FA"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sz w:val="18"/>
                <w:szCs w:val="18"/>
                <w:lang w:eastAsia="en-IE"/>
              </w:rPr>
              <w:t>6,779</w:t>
            </w:r>
          </w:p>
        </w:tc>
      </w:tr>
      <w:tr w:rsidR="00EE0F87" w:rsidRPr="00EE0F87" w14:paraId="605DD047" w14:textId="77777777" w:rsidTr="00897EB6">
        <w:trPr>
          <w:trHeight w:val="259"/>
        </w:trPr>
        <w:tc>
          <w:tcPr>
            <w:tcW w:w="2835" w:type="dxa"/>
            <w:tcBorders>
              <w:top w:val="nil"/>
              <w:left w:val="nil"/>
              <w:bottom w:val="nil"/>
              <w:right w:val="nil"/>
            </w:tcBorders>
            <w:noWrap/>
            <w:tcMar>
              <w:top w:w="15" w:type="dxa"/>
              <w:left w:w="15" w:type="dxa"/>
              <w:bottom w:w="0" w:type="dxa"/>
              <w:right w:w="15" w:type="dxa"/>
            </w:tcMar>
            <w:vAlign w:val="bottom"/>
          </w:tcPr>
          <w:p w14:paraId="297453D8"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Arial Unicode MS" w:hAnsi="Times New Roman" w:cs="Times New Roman"/>
                <w:b/>
                <w:bCs/>
                <w:sz w:val="18"/>
                <w:szCs w:val="18"/>
                <w:lang w:eastAsia="en-IE"/>
              </w:rPr>
            </w:pPr>
          </w:p>
        </w:tc>
        <w:tc>
          <w:tcPr>
            <w:tcW w:w="851" w:type="dxa"/>
            <w:tcBorders>
              <w:top w:val="nil"/>
              <w:left w:val="nil"/>
              <w:right w:val="nil"/>
            </w:tcBorders>
            <w:noWrap/>
            <w:tcMar>
              <w:top w:w="15" w:type="dxa"/>
              <w:left w:w="15" w:type="dxa"/>
              <w:bottom w:w="0" w:type="dxa"/>
              <w:right w:w="15" w:type="dxa"/>
            </w:tcMar>
            <w:vAlign w:val="bottom"/>
          </w:tcPr>
          <w:p w14:paraId="6EC1545E"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Arial Unicode MS" w:hAnsi="Times New Roman" w:cs="Times New Roman"/>
                <w:b/>
                <w:bCs/>
                <w:sz w:val="18"/>
                <w:szCs w:val="18"/>
                <w:lang w:eastAsia="en-IE"/>
              </w:rPr>
            </w:pPr>
          </w:p>
        </w:tc>
        <w:tc>
          <w:tcPr>
            <w:tcW w:w="1134" w:type="dxa"/>
            <w:tcBorders>
              <w:top w:val="nil"/>
              <w:left w:val="nil"/>
              <w:right w:val="nil"/>
            </w:tcBorders>
            <w:noWrap/>
            <w:tcMar>
              <w:top w:w="15" w:type="dxa"/>
              <w:left w:w="15" w:type="dxa"/>
              <w:bottom w:w="0" w:type="dxa"/>
              <w:right w:w="15" w:type="dxa"/>
            </w:tcMar>
            <w:vAlign w:val="bottom"/>
          </w:tcPr>
          <w:p w14:paraId="09CE7E42"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Arial Unicode MS" w:hAnsi="Times New Roman" w:cs="Times New Roman"/>
                <w:b/>
                <w:bCs/>
                <w:sz w:val="18"/>
                <w:szCs w:val="18"/>
                <w:lang w:eastAsia="en-IE"/>
              </w:rPr>
            </w:pPr>
          </w:p>
        </w:tc>
        <w:tc>
          <w:tcPr>
            <w:tcW w:w="850" w:type="dxa"/>
            <w:tcBorders>
              <w:top w:val="nil"/>
              <w:left w:val="nil"/>
              <w:right w:val="nil"/>
            </w:tcBorders>
            <w:vAlign w:val="bottom"/>
          </w:tcPr>
          <w:p w14:paraId="51CE50DD"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Arial Unicode MS" w:hAnsi="Times New Roman" w:cs="Times New Roman"/>
                <w:b/>
                <w:bCs/>
                <w:sz w:val="18"/>
                <w:szCs w:val="18"/>
                <w:lang w:eastAsia="en-IE"/>
              </w:rPr>
            </w:pPr>
          </w:p>
        </w:tc>
        <w:tc>
          <w:tcPr>
            <w:tcW w:w="1276" w:type="dxa"/>
            <w:tcBorders>
              <w:top w:val="nil"/>
              <w:left w:val="nil"/>
              <w:right w:val="nil"/>
            </w:tcBorders>
          </w:tcPr>
          <w:p w14:paraId="73011289"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Arial Unicode MS" w:hAnsi="Times New Roman" w:cs="Times New Roman"/>
                <w:b/>
                <w:bCs/>
                <w:sz w:val="18"/>
                <w:szCs w:val="18"/>
                <w:lang w:eastAsia="en-IE"/>
              </w:rPr>
            </w:pPr>
          </w:p>
        </w:tc>
        <w:tc>
          <w:tcPr>
            <w:tcW w:w="851" w:type="dxa"/>
            <w:tcBorders>
              <w:top w:val="nil"/>
              <w:left w:val="nil"/>
              <w:right w:val="nil"/>
            </w:tcBorders>
            <w:noWrap/>
            <w:tcMar>
              <w:top w:w="15" w:type="dxa"/>
              <w:left w:w="15" w:type="dxa"/>
              <w:bottom w:w="0" w:type="dxa"/>
              <w:right w:w="15" w:type="dxa"/>
            </w:tcMar>
            <w:vAlign w:val="bottom"/>
          </w:tcPr>
          <w:p w14:paraId="0B311353"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Arial Unicode MS" w:hAnsi="Times New Roman" w:cs="Times New Roman"/>
                <w:b/>
                <w:bCs/>
                <w:sz w:val="18"/>
                <w:szCs w:val="18"/>
                <w:lang w:eastAsia="en-IE"/>
              </w:rPr>
            </w:pPr>
          </w:p>
        </w:tc>
        <w:tc>
          <w:tcPr>
            <w:tcW w:w="708" w:type="dxa"/>
            <w:tcBorders>
              <w:top w:val="nil"/>
              <w:left w:val="nil"/>
              <w:right w:val="nil"/>
            </w:tcBorders>
            <w:noWrap/>
            <w:tcMar>
              <w:top w:w="15" w:type="dxa"/>
              <w:left w:w="15" w:type="dxa"/>
              <w:bottom w:w="0" w:type="dxa"/>
              <w:right w:w="15" w:type="dxa"/>
            </w:tcMar>
            <w:vAlign w:val="bottom"/>
          </w:tcPr>
          <w:p w14:paraId="74BF0CDF"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Arial Unicode MS" w:hAnsi="Times New Roman" w:cs="Times New Roman"/>
                <w:b/>
                <w:bCs/>
                <w:sz w:val="18"/>
                <w:szCs w:val="18"/>
                <w:lang w:eastAsia="en-IE"/>
              </w:rPr>
            </w:pPr>
          </w:p>
        </w:tc>
      </w:tr>
      <w:tr w:rsidR="00EE0F87" w:rsidRPr="00EE0F87" w14:paraId="1823138E" w14:textId="77777777" w:rsidTr="00897EB6">
        <w:trPr>
          <w:trHeight w:val="259"/>
        </w:trPr>
        <w:tc>
          <w:tcPr>
            <w:tcW w:w="2835" w:type="dxa"/>
            <w:tcBorders>
              <w:top w:val="nil"/>
              <w:left w:val="nil"/>
              <w:bottom w:val="nil"/>
              <w:right w:val="nil"/>
            </w:tcBorders>
            <w:noWrap/>
            <w:tcMar>
              <w:top w:w="15" w:type="dxa"/>
              <w:left w:w="15" w:type="dxa"/>
              <w:bottom w:w="0" w:type="dxa"/>
              <w:right w:w="15" w:type="dxa"/>
            </w:tcMar>
            <w:vAlign w:val="bottom"/>
          </w:tcPr>
          <w:p w14:paraId="0A0C2B02"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en-IE"/>
              </w:rPr>
            </w:pPr>
            <w:r w:rsidRPr="00EE0F87">
              <w:rPr>
                <w:rFonts w:ascii="Times New Roman" w:eastAsia="Times New Roman" w:hAnsi="Times New Roman" w:cs="Times New Roman"/>
                <w:sz w:val="18"/>
                <w:szCs w:val="18"/>
                <w:lang w:eastAsia="en-IE"/>
              </w:rPr>
              <w:t>Loss  for the financial year</w:t>
            </w:r>
          </w:p>
        </w:tc>
        <w:tc>
          <w:tcPr>
            <w:tcW w:w="851" w:type="dxa"/>
            <w:tcBorders>
              <w:top w:val="nil"/>
              <w:left w:val="nil"/>
              <w:right w:val="nil"/>
            </w:tcBorders>
            <w:noWrap/>
            <w:tcMar>
              <w:top w:w="15" w:type="dxa"/>
              <w:left w:w="15" w:type="dxa"/>
              <w:bottom w:w="0" w:type="dxa"/>
              <w:right w:w="15" w:type="dxa"/>
            </w:tcMar>
            <w:vAlign w:val="bottom"/>
          </w:tcPr>
          <w:p w14:paraId="0FDA9ED5"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w:t>
            </w:r>
          </w:p>
        </w:tc>
        <w:tc>
          <w:tcPr>
            <w:tcW w:w="1134" w:type="dxa"/>
            <w:tcBorders>
              <w:top w:val="nil"/>
              <w:left w:val="nil"/>
              <w:right w:val="nil"/>
            </w:tcBorders>
            <w:noWrap/>
            <w:tcMar>
              <w:top w:w="15" w:type="dxa"/>
              <w:left w:w="15" w:type="dxa"/>
              <w:bottom w:w="0" w:type="dxa"/>
              <w:right w:w="15" w:type="dxa"/>
            </w:tcMar>
            <w:vAlign w:val="bottom"/>
          </w:tcPr>
          <w:p w14:paraId="510C0035"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w:t>
            </w:r>
          </w:p>
        </w:tc>
        <w:tc>
          <w:tcPr>
            <w:tcW w:w="850" w:type="dxa"/>
            <w:tcBorders>
              <w:top w:val="nil"/>
              <w:left w:val="nil"/>
              <w:right w:val="nil"/>
            </w:tcBorders>
            <w:vAlign w:val="bottom"/>
          </w:tcPr>
          <w:p w14:paraId="5470DF3F"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w:t>
            </w:r>
          </w:p>
        </w:tc>
        <w:tc>
          <w:tcPr>
            <w:tcW w:w="1276" w:type="dxa"/>
            <w:tcBorders>
              <w:top w:val="nil"/>
              <w:left w:val="nil"/>
              <w:right w:val="nil"/>
            </w:tcBorders>
          </w:tcPr>
          <w:p w14:paraId="0931669B"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w:t>
            </w:r>
          </w:p>
        </w:tc>
        <w:tc>
          <w:tcPr>
            <w:tcW w:w="851" w:type="dxa"/>
            <w:tcBorders>
              <w:top w:val="nil"/>
              <w:left w:val="nil"/>
              <w:right w:val="nil"/>
            </w:tcBorders>
            <w:noWrap/>
            <w:tcMar>
              <w:top w:w="15" w:type="dxa"/>
              <w:left w:w="15" w:type="dxa"/>
              <w:bottom w:w="0" w:type="dxa"/>
              <w:right w:w="15" w:type="dxa"/>
            </w:tcMar>
            <w:vAlign w:val="bottom"/>
          </w:tcPr>
          <w:p w14:paraId="4739FF4E"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(1,248)</w:t>
            </w:r>
          </w:p>
        </w:tc>
        <w:tc>
          <w:tcPr>
            <w:tcW w:w="708" w:type="dxa"/>
            <w:tcBorders>
              <w:top w:val="nil"/>
              <w:left w:val="nil"/>
              <w:right w:val="nil"/>
            </w:tcBorders>
            <w:noWrap/>
            <w:tcMar>
              <w:top w:w="15" w:type="dxa"/>
              <w:left w:w="15" w:type="dxa"/>
              <w:bottom w:w="0" w:type="dxa"/>
              <w:right w:w="15" w:type="dxa"/>
            </w:tcMar>
            <w:vAlign w:val="bottom"/>
          </w:tcPr>
          <w:p w14:paraId="1704399E"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(1,248)</w:t>
            </w:r>
          </w:p>
        </w:tc>
      </w:tr>
      <w:tr w:rsidR="00EE0F87" w:rsidRPr="00EE0F87" w14:paraId="7E367261" w14:textId="77777777" w:rsidTr="00897EB6">
        <w:trPr>
          <w:trHeight w:val="259"/>
        </w:trPr>
        <w:tc>
          <w:tcPr>
            <w:tcW w:w="2835" w:type="dxa"/>
            <w:tcBorders>
              <w:top w:val="nil"/>
              <w:left w:val="nil"/>
              <w:bottom w:val="nil"/>
              <w:right w:val="nil"/>
            </w:tcBorders>
            <w:noWrap/>
            <w:tcMar>
              <w:top w:w="15" w:type="dxa"/>
              <w:left w:w="15" w:type="dxa"/>
              <w:bottom w:w="0" w:type="dxa"/>
              <w:right w:w="15" w:type="dxa"/>
            </w:tcMar>
            <w:vAlign w:val="bottom"/>
          </w:tcPr>
          <w:p w14:paraId="14B1E80F"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en-IE"/>
              </w:rPr>
            </w:pPr>
            <w:r w:rsidRPr="00EE0F87">
              <w:rPr>
                <w:rFonts w:ascii="Times New Roman" w:eastAsia="Times New Roman" w:hAnsi="Times New Roman" w:cs="Times New Roman"/>
                <w:sz w:val="18"/>
                <w:szCs w:val="18"/>
                <w:lang w:eastAsia="en-IE"/>
              </w:rPr>
              <w:t>Foreign exchange gain</w:t>
            </w:r>
          </w:p>
        </w:tc>
        <w:tc>
          <w:tcPr>
            <w:tcW w:w="851" w:type="dxa"/>
            <w:tcBorders>
              <w:left w:val="nil"/>
              <w:bottom w:val="single" w:sz="4" w:space="0" w:color="auto"/>
              <w:right w:val="nil"/>
            </w:tcBorders>
            <w:noWrap/>
            <w:tcMar>
              <w:top w:w="15" w:type="dxa"/>
              <w:left w:w="15" w:type="dxa"/>
              <w:bottom w:w="0" w:type="dxa"/>
              <w:right w:w="15" w:type="dxa"/>
            </w:tcMar>
            <w:vAlign w:val="bottom"/>
          </w:tcPr>
          <w:p w14:paraId="08204724"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w:t>
            </w:r>
          </w:p>
        </w:tc>
        <w:tc>
          <w:tcPr>
            <w:tcW w:w="1134" w:type="dxa"/>
            <w:tcBorders>
              <w:left w:val="nil"/>
              <w:bottom w:val="single" w:sz="4" w:space="0" w:color="auto"/>
              <w:right w:val="nil"/>
            </w:tcBorders>
            <w:noWrap/>
            <w:tcMar>
              <w:top w:w="15" w:type="dxa"/>
              <w:left w:w="15" w:type="dxa"/>
              <w:bottom w:w="0" w:type="dxa"/>
              <w:right w:w="15" w:type="dxa"/>
            </w:tcMar>
            <w:vAlign w:val="bottom"/>
          </w:tcPr>
          <w:p w14:paraId="5955F2B0"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w:t>
            </w:r>
          </w:p>
        </w:tc>
        <w:tc>
          <w:tcPr>
            <w:tcW w:w="850" w:type="dxa"/>
            <w:tcBorders>
              <w:left w:val="nil"/>
              <w:bottom w:val="single" w:sz="4" w:space="0" w:color="auto"/>
              <w:right w:val="nil"/>
            </w:tcBorders>
            <w:vAlign w:val="bottom"/>
          </w:tcPr>
          <w:p w14:paraId="514C3622"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169</w:t>
            </w:r>
          </w:p>
        </w:tc>
        <w:tc>
          <w:tcPr>
            <w:tcW w:w="1276" w:type="dxa"/>
            <w:tcBorders>
              <w:left w:val="nil"/>
              <w:bottom w:val="single" w:sz="4" w:space="0" w:color="auto"/>
              <w:right w:val="nil"/>
            </w:tcBorders>
          </w:tcPr>
          <w:p w14:paraId="73C59B47"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w:t>
            </w:r>
          </w:p>
        </w:tc>
        <w:tc>
          <w:tcPr>
            <w:tcW w:w="851" w:type="dxa"/>
            <w:tcBorders>
              <w:left w:val="nil"/>
              <w:bottom w:val="single" w:sz="4" w:space="0" w:color="auto"/>
              <w:right w:val="nil"/>
            </w:tcBorders>
            <w:noWrap/>
            <w:tcMar>
              <w:top w:w="15" w:type="dxa"/>
              <w:left w:w="15" w:type="dxa"/>
              <w:bottom w:w="0" w:type="dxa"/>
              <w:right w:w="15" w:type="dxa"/>
            </w:tcMar>
            <w:vAlign w:val="bottom"/>
          </w:tcPr>
          <w:p w14:paraId="7EE2E654"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w:t>
            </w:r>
          </w:p>
        </w:tc>
        <w:tc>
          <w:tcPr>
            <w:tcW w:w="708" w:type="dxa"/>
            <w:tcBorders>
              <w:left w:val="nil"/>
              <w:bottom w:val="single" w:sz="4" w:space="0" w:color="auto"/>
              <w:right w:val="nil"/>
            </w:tcBorders>
            <w:noWrap/>
            <w:tcMar>
              <w:top w:w="15" w:type="dxa"/>
              <w:left w:w="15" w:type="dxa"/>
              <w:bottom w:w="0" w:type="dxa"/>
              <w:right w:w="15" w:type="dxa"/>
            </w:tcMar>
            <w:vAlign w:val="bottom"/>
          </w:tcPr>
          <w:p w14:paraId="61AB2850"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169</w:t>
            </w:r>
          </w:p>
        </w:tc>
      </w:tr>
      <w:tr w:rsidR="00EE0F87" w:rsidRPr="00EE0F87" w14:paraId="5A213F72" w14:textId="77777777" w:rsidTr="00897EB6">
        <w:trPr>
          <w:trHeight w:val="259"/>
        </w:trPr>
        <w:tc>
          <w:tcPr>
            <w:tcW w:w="2835" w:type="dxa"/>
            <w:tcBorders>
              <w:top w:val="nil"/>
              <w:left w:val="nil"/>
              <w:bottom w:val="nil"/>
              <w:right w:val="nil"/>
            </w:tcBorders>
            <w:noWrap/>
            <w:tcMar>
              <w:top w:w="15" w:type="dxa"/>
              <w:left w:w="15" w:type="dxa"/>
              <w:bottom w:w="0" w:type="dxa"/>
              <w:right w:w="15" w:type="dxa"/>
            </w:tcMar>
            <w:vAlign w:val="bottom"/>
          </w:tcPr>
          <w:p w14:paraId="09CEF3F8"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18"/>
                <w:szCs w:val="18"/>
                <w:lang w:eastAsia="en-IE"/>
              </w:rPr>
            </w:pPr>
            <w:r w:rsidRPr="00EE0F87">
              <w:rPr>
                <w:rFonts w:ascii="Times New Roman" w:eastAsia="Times New Roman" w:hAnsi="Times New Roman" w:cs="Times New Roman"/>
                <w:b/>
                <w:sz w:val="18"/>
                <w:szCs w:val="18"/>
                <w:lang w:eastAsia="en-IE"/>
              </w:rPr>
              <w:t>Total comprehensive income for the financial year</w:t>
            </w:r>
          </w:p>
        </w:tc>
        <w:tc>
          <w:tcPr>
            <w:tcW w:w="851" w:type="dxa"/>
            <w:tcBorders>
              <w:top w:val="single" w:sz="4" w:space="0" w:color="auto"/>
              <w:left w:val="nil"/>
              <w:right w:val="nil"/>
            </w:tcBorders>
            <w:noWrap/>
            <w:tcMar>
              <w:top w:w="15" w:type="dxa"/>
              <w:left w:w="15" w:type="dxa"/>
              <w:bottom w:w="0" w:type="dxa"/>
              <w:right w:w="15" w:type="dxa"/>
            </w:tcMar>
            <w:vAlign w:val="bottom"/>
          </w:tcPr>
          <w:p w14:paraId="637226F7"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sz w:val="18"/>
                <w:szCs w:val="18"/>
                <w:lang w:eastAsia="en-IE"/>
              </w:rPr>
              <w:t>-</w:t>
            </w:r>
          </w:p>
        </w:tc>
        <w:tc>
          <w:tcPr>
            <w:tcW w:w="1134" w:type="dxa"/>
            <w:tcBorders>
              <w:top w:val="single" w:sz="4" w:space="0" w:color="auto"/>
              <w:left w:val="nil"/>
              <w:right w:val="nil"/>
            </w:tcBorders>
            <w:noWrap/>
            <w:tcMar>
              <w:top w:w="15" w:type="dxa"/>
              <w:left w:w="15" w:type="dxa"/>
              <w:bottom w:w="0" w:type="dxa"/>
              <w:right w:w="15" w:type="dxa"/>
            </w:tcMar>
            <w:vAlign w:val="bottom"/>
          </w:tcPr>
          <w:p w14:paraId="2D4DC293"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sz w:val="18"/>
                <w:szCs w:val="18"/>
                <w:lang w:eastAsia="en-IE"/>
              </w:rPr>
              <w:t>-</w:t>
            </w:r>
          </w:p>
        </w:tc>
        <w:tc>
          <w:tcPr>
            <w:tcW w:w="850" w:type="dxa"/>
            <w:tcBorders>
              <w:top w:val="single" w:sz="4" w:space="0" w:color="auto"/>
              <w:left w:val="nil"/>
              <w:right w:val="nil"/>
            </w:tcBorders>
            <w:vAlign w:val="bottom"/>
          </w:tcPr>
          <w:p w14:paraId="1B2E4A03"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sz w:val="18"/>
                <w:szCs w:val="18"/>
                <w:lang w:eastAsia="en-IE"/>
              </w:rPr>
              <w:t>169</w:t>
            </w:r>
          </w:p>
        </w:tc>
        <w:tc>
          <w:tcPr>
            <w:tcW w:w="1276" w:type="dxa"/>
            <w:tcBorders>
              <w:top w:val="single" w:sz="4" w:space="0" w:color="auto"/>
              <w:left w:val="nil"/>
              <w:right w:val="nil"/>
            </w:tcBorders>
          </w:tcPr>
          <w:p w14:paraId="59DA08F0"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sz w:val="18"/>
                <w:szCs w:val="18"/>
                <w:lang w:eastAsia="en-IE"/>
              </w:rPr>
              <w:t>-</w:t>
            </w:r>
          </w:p>
        </w:tc>
        <w:tc>
          <w:tcPr>
            <w:tcW w:w="851" w:type="dxa"/>
            <w:tcBorders>
              <w:top w:val="single" w:sz="4" w:space="0" w:color="auto"/>
              <w:left w:val="nil"/>
              <w:right w:val="nil"/>
            </w:tcBorders>
            <w:noWrap/>
            <w:tcMar>
              <w:top w:w="15" w:type="dxa"/>
              <w:left w:w="15" w:type="dxa"/>
              <w:bottom w:w="0" w:type="dxa"/>
              <w:right w:w="15" w:type="dxa"/>
            </w:tcMar>
            <w:vAlign w:val="bottom"/>
          </w:tcPr>
          <w:p w14:paraId="1C95D3B4"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sz w:val="18"/>
                <w:szCs w:val="18"/>
                <w:lang w:eastAsia="en-IE"/>
              </w:rPr>
              <w:t>(1,248)</w:t>
            </w:r>
          </w:p>
        </w:tc>
        <w:tc>
          <w:tcPr>
            <w:tcW w:w="708" w:type="dxa"/>
            <w:tcBorders>
              <w:top w:val="single" w:sz="4" w:space="0" w:color="auto"/>
              <w:left w:val="nil"/>
              <w:right w:val="nil"/>
            </w:tcBorders>
            <w:noWrap/>
            <w:tcMar>
              <w:top w:w="15" w:type="dxa"/>
              <w:left w:w="15" w:type="dxa"/>
              <w:bottom w:w="0" w:type="dxa"/>
              <w:right w:w="15" w:type="dxa"/>
            </w:tcMar>
            <w:vAlign w:val="bottom"/>
          </w:tcPr>
          <w:p w14:paraId="3AE7652D"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sz w:val="18"/>
                <w:szCs w:val="18"/>
                <w:lang w:eastAsia="en-IE"/>
              </w:rPr>
              <w:t>(1,079)</w:t>
            </w:r>
          </w:p>
        </w:tc>
      </w:tr>
      <w:tr w:rsidR="00EE0F87" w:rsidRPr="00EE0F87" w14:paraId="06D053FE" w14:textId="77777777" w:rsidTr="00897EB6">
        <w:trPr>
          <w:trHeight w:val="259"/>
        </w:trPr>
        <w:tc>
          <w:tcPr>
            <w:tcW w:w="2835" w:type="dxa"/>
            <w:tcBorders>
              <w:top w:val="nil"/>
              <w:left w:val="nil"/>
              <w:bottom w:val="nil"/>
              <w:right w:val="nil"/>
            </w:tcBorders>
            <w:noWrap/>
            <w:tcMar>
              <w:top w:w="15" w:type="dxa"/>
              <w:left w:w="15" w:type="dxa"/>
              <w:bottom w:w="0" w:type="dxa"/>
              <w:right w:w="15" w:type="dxa"/>
            </w:tcMar>
            <w:vAlign w:val="bottom"/>
          </w:tcPr>
          <w:p w14:paraId="488BD8EC"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Arial Unicode MS" w:hAnsi="Times New Roman" w:cs="Times New Roman"/>
                <w:sz w:val="18"/>
                <w:szCs w:val="18"/>
                <w:lang w:eastAsia="en-IE"/>
              </w:rPr>
            </w:pPr>
            <w:bookmarkStart w:id="7" w:name="OLE_LINK26"/>
            <w:bookmarkStart w:id="8" w:name="OLE_LINK38"/>
            <w:r w:rsidRPr="00EE0F87">
              <w:rPr>
                <w:rFonts w:ascii="Times New Roman" w:eastAsia="Times New Roman" w:hAnsi="Times New Roman" w:cs="Times New Roman"/>
                <w:sz w:val="18"/>
                <w:szCs w:val="18"/>
                <w:lang w:eastAsia="en-IE"/>
              </w:rPr>
              <w:t>Equity dividends paid</w:t>
            </w:r>
          </w:p>
        </w:tc>
        <w:tc>
          <w:tcPr>
            <w:tcW w:w="851" w:type="dxa"/>
            <w:tcBorders>
              <w:top w:val="nil"/>
              <w:left w:val="nil"/>
              <w:right w:val="nil"/>
            </w:tcBorders>
            <w:noWrap/>
            <w:tcMar>
              <w:top w:w="15" w:type="dxa"/>
              <w:left w:w="15" w:type="dxa"/>
              <w:bottom w:w="0" w:type="dxa"/>
              <w:right w:w="15" w:type="dxa"/>
            </w:tcMar>
            <w:vAlign w:val="bottom"/>
          </w:tcPr>
          <w:p w14:paraId="380DADC7"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w:t>
            </w:r>
          </w:p>
        </w:tc>
        <w:tc>
          <w:tcPr>
            <w:tcW w:w="1134" w:type="dxa"/>
            <w:tcBorders>
              <w:top w:val="nil"/>
              <w:left w:val="nil"/>
              <w:right w:val="nil"/>
            </w:tcBorders>
            <w:noWrap/>
            <w:tcMar>
              <w:top w:w="15" w:type="dxa"/>
              <w:left w:w="15" w:type="dxa"/>
              <w:bottom w:w="0" w:type="dxa"/>
              <w:right w:w="15" w:type="dxa"/>
            </w:tcMar>
            <w:vAlign w:val="bottom"/>
          </w:tcPr>
          <w:p w14:paraId="7FD06F2D"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w:t>
            </w:r>
          </w:p>
        </w:tc>
        <w:tc>
          <w:tcPr>
            <w:tcW w:w="850" w:type="dxa"/>
            <w:tcBorders>
              <w:top w:val="nil"/>
              <w:left w:val="nil"/>
              <w:right w:val="nil"/>
            </w:tcBorders>
            <w:vAlign w:val="bottom"/>
          </w:tcPr>
          <w:p w14:paraId="7A4600EA"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w:t>
            </w:r>
          </w:p>
        </w:tc>
        <w:tc>
          <w:tcPr>
            <w:tcW w:w="1276" w:type="dxa"/>
            <w:tcBorders>
              <w:top w:val="nil"/>
              <w:left w:val="nil"/>
              <w:right w:val="nil"/>
            </w:tcBorders>
            <w:vAlign w:val="bottom"/>
          </w:tcPr>
          <w:p w14:paraId="6A9DFCAD"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w:t>
            </w:r>
          </w:p>
        </w:tc>
        <w:tc>
          <w:tcPr>
            <w:tcW w:w="851" w:type="dxa"/>
            <w:tcBorders>
              <w:top w:val="nil"/>
              <w:left w:val="nil"/>
              <w:right w:val="nil"/>
            </w:tcBorders>
            <w:noWrap/>
            <w:tcMar>
              <w:top w:w="15" w:type="dxa"/>
              <w:left w:w="15" w:type="dxa"/>
              <w:bottom w:w="0" w:type="dxa"/>
              <w:right w:w="15" w:type="dxa"/>
            </w:tcMar>
            <w:vAlign w:val="bottom"/>
          </w:tcPr>
          <w:p w14:paraId="49F379CD"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w:t>
            </w:r>
          </w:p>
        </w:tc>
        <w:tc>
          <w:tcPr>
            <w:tcW w:w="708" w:type="dxa"/>
            <w:tcBorders>
              <w:top w:val="nil"/>
              <w:left w:val="nil"/>
              <w:right w:val="nil"/>
            </w:tcBorders>
            <w:noWrap/>
            <w:tcMar>
              <w:top w:w="15" w:type="dxa"/>
              <w:left w:w="15" w:type="dxa"/>
              <w:bottom w:w="0" w:type="dxa"/>
              <w:right w:w="15" w:type="dxa"/>
            </w:tcMar>
            <w:vAlign w:val="bottom"/>
          </w:tcPr>
          <w:p w14:paraId="1C94781B"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r w:rsidRPr="00EE0F87">
              <w:rPr>
                <w:rFonts w:ascii="Times New Roman" w:eastAsia="Arial Unicode MS" w:hAnsi="Times New Roman" w:cs="Times New Roman"/>
                <w:sz w:val="18"/>
                <w:szCs w:val="18"/>
                <w:lang w:eastAsia="en-IE"/>
              </w:rPr>
              <w:t>-</w:t>
            </w:r>
          </w:p>
        </w:tc>
      </w:tr>
      <w:tr w:rsidR="00EE0F87" w:rsidRPr="00EE0F87" w14:paraId="426EB06D" w14:textId="77777777" w:rsidTr="00897EB6">
        <w:trPr>
          <w:trHeight w:val="259"/>
        </w:trPr>
        <w:tc>
          <w:tcPr>
            <w:tcW w:w="2835" w:type="dxa"/>
            <w:tcBorders>
              <w:top w:val="nil"/>
              <w:left w:val="nil"/>
              <w:bottom w:val="nil"/>
              <w:right w:val="nil"/>
            </w:tcBorders>
            <w:noWrap/>
            <w:tcMar>
              <w:top w:w="15" w:type="dxa"/>
              <w:left w:w="15" w:type="dxa"/>
              <w:bottom w:w="0" w:type="dxa"/>
              <w:right w:w="15" w:type="dxa"/>
            </w:tcMar>
            <w:vAlign w:val="bottom"/>
          </w:tcPr>
          <w:p w14:paraId="0132E2E3"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en-IE"/>
              </w:rPr>
            </w:pPr>
          </w:p>
        </w:tc>
        <w:tc>
          <w:tcPr>
            <w:tcW w:w="851" w:type="dxa"/>
            <w:tcBorders>
              <w:top w:val="nil"/>
              <w:left w:val="nil"/>
              <w:right w:val="nil"/>
            </w:tcBorders>
            <w:noWrap/>
            <w:tcMar>
              <w:top w:w="15" w:type="dxa"/>
              <w:left w:w="15" w:type="dxa"/>
              <w:bottom w:w="0" w:type="dxa"/>
              <w:right w:w="15" w:type="dxa"/>
            </w:tcMar>
            <w:vAlign w:val="bottom"/>
          </w:tcPr>
          <w:p w14:paraId="1836C701"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p>
        </w:tc>
        <w:tc>
          <w:tcPr>
            <w:tcW w:w="1134" w:type="dxa"/>
            <w:tcBorders>
              <w:top w:val="nil"/>
              <w:left w:val="nil"/>
              <w:right w:val="nil"/>
            </w:tcBorders>
            <w:noWrap/>
            <w:tcMar>
              <w:top w:w="15" w:type="dxa"/>
              <w:left w:w="15" w:type="dxa"/>
              <w:bottom w:w="0" w:type="dxa"/>
              <w:right w:w="15" w:type="dxa"/>
            </w:tcMar>
            <w:vAlign w:val="bottom"/>
          </w:tcPr>
          <w:p w14:paraId="087D2F1C"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p>
        </w:tc>
        <w:tc>
          <w:tcPr>
            <w:tcW w:w="850" w:type="dxa"/>
            <w:tcBorders>
              <w:top w:val="nil"/>
              <w:left w:val="nil"/>
              <w:right w:val="nil"/>
            </w:tcBorders>
            <w:vAlign w:val="bottom"/>
          </w:tcPr>
          <w:p w14:paraId="4584F790"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p>
        </w:tc>
        <w:tc>
          <w:tcPr>
            <w:tcW w:w="1276" w:type="dxa"/>
            <w:tcBorders>
              <w:top w:val="nil"/>
              <w:left w:val="nil"/>
              <w:right w:val="nil"/>
            </w:tcBorders>
          </w:tcPr>
          <w:p w14:paraId="191A1BDB"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p>
        </w:tc>
        <w:tc>
          <w:tcPr>
            <w:tcW w:w="851" w:type="dxa"/>
            <w:tcBorders>
              <w:top w:val="nil"/>
              <w:left w:val="nil"/>
              <w:right w:val="nil"/>
            </w:tcBorders>
            <w:noWrap/>
            <w:tcMar>
              <w:top w:w="15" w:type="dxa"/>
              <w:left w:w="15" w:type="dxa"/>
              <w:bottom w:w="0" w:type="dxa"/>
              <w:right w:w="15" w:type="dxa"/>
            </w:tcMar>
            <w:vAlign w:val="bottom"/>
          </w:tcPr>
          <w:p w14:paraId="19AB55C3"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p>
        </w:tc>
        <w:tc>
          <w:tcPr>
            <w:tcW w:w="708" w:type="dxa"/>
            <w:tcBorders>
              <w:top w:val="nil"/>
              <w:left w:val="nil"/>
              <w:right w:val="nil"/>
            </w:tcBorders>
            <w:noWrap/>
            <w:tcMar>
              <w:top w:w="15" w:type="dxa"/>
              <w:left w:w="15" w:type="dxa"/>
              <w:bottom w:w="0" w:type="dxa"/>
              <w:right w:w="15" w:type="dxa"/>
            </w:tcMar>
            <w:vAlign w:val="bottom"/>
          </w:tcPr>
          <w:p w14:paraId="5D05CBF7"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sz w:val="18"/>
                <w:szCs w:val="18"/>
                <w:lang w:eastAsia="en-IE"/>
              </w:rPr>
            </w:pPr>
          </w:p>
        </w:tc>
      </w:tr>
      <w:tr w:rsidR="00EE0F87" w:rsidRPr="00EE0F87" w14:paraId="65432409" w14:textId="77777777" w:rsidTr="00897EB6">
        <w:trPr>
          <w:trHeight w:val="259"/>
        </w:trPr>
        <w:tc>
          <w:tcPr>
            <w:tcW w:w="2835" w:type="dxa"/>
            <w:tcBorders>
              <w:top w:val="nil"/>
              <w:left w:val="nil"/>
              <w:bottom w:val="nil"/>
              <w:right w:val="nil"/>
            </w:tcBorders>
            <w:noWrap/>
            <w:tcMar>
              <w:top w:w="15" w:type="dxa"/>
              <w:left w:w="15" w:type="dxa"/>
              <w:bottom w:w="0" w:type="dxa"/>
              <w:right w:w="15" w:type="dxa"/>
            </w:tcMar>
            <w:vAlign w:val="bottom"/>
          </w:tcPr>
          <w:p w14:paraId="2B731C71"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18"/>
                <w:szCs w:val="18"/>
                <w:lang w:eastAsia="en-IE"/>
              </w:rPr>
            </w:pPr>
            <w:r w:rsidRPr="00EE0F87">
              <w:rPr>
                <w:rFonts w:ascii="Times New Roman" w:eastAsia="Times New Roman" w:hAnsi="Times New Roman" w:cs="Times New Roman"/>
                <w:b/>
                <w:sz w:val="18"/>
                <w:szCs w:val="18"/>
                <w:lang w:eastAsia="en-IE"/>
              </w:rPr>
              <w:t>Transactions with owners</w:t>
            </w:r>
          </w:p>
        </w:tc>
        <w:tc>
          <w:tcPr>
            <w:tcW w:w="851" w:type="dxa"/>
            <w:tcBorders>
              <w:top w:val="single" w:sz="4" w:space="0" w:color="auto"/>
              <w:left w:val="nil"/>
              <w:bottom w:val="nil"/>
              <w:right w:val="nil"/>
            </w:tcBorders>
            <w:noWrap/>
            <w:tcMar>
              <w:top w:w="15" w:type="dxa"/>
              <w:left w:w="15" w:type="dxa"/>
              <w:bottom w:w="0" w:type="dxa"/>
              <w:right w:w="15" w:type="dxa"/>
            </w:tcMar>
            <w:vAlign w:val="bottom"/>
          </w:tcPr>
          <w:p w14:paraId="7A16E287"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sz w:val="18"/>
                <w:szCs w:val="18"/>
                <w:lang w:eastAsia="en-IE"/>
              </w:rPr>
              <w:t>-</w:t>
            </w:r>
          </w:p>
        </w:tc>
        <w:tc>
          <w:tcPr>
            <w:tcW w:w="1134" w:type="dxa"/>
            <w:tcBorders>
              <w:top w:val="single" w:sz="4" w:space="0" w:color="auto"/>
              <w:left w:val="nil"/>
              <w:bottom w:val="nil"/>
              <w:right w:val="nil"/>
            </w:tcBorders>
            <w:noWrap/>
            <w:tcMar>
              <w:top w:w="15" w:type="dxa"/>
              <w:left w:w="15" w:type="dxa"/>
              <w:bottom w:w="0" w:type="dxa"/>
              <w:right w:w="15" w:type="dxa"/>
            </w:tcMar>
            <w:vAlign w:val="bottom"/>
          </w:tcPr>
          <w:p w14:paraId="5AFD602F"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sz w:val="18"/>
                <w:szCs w:val="18"/>
                <w:lang w:eastAsia="en-IE"/>
              </w:rPr>
              <w:t>-</w:t>
            </w:r>
          </w:p>
        </w:tc>
        <w:tc>
          <w:tcPr>
            <w:tcW w:w="850" w:type="dxa"/>
            <w:tcBorders>
              <w:top w:val="single" w:sz="4" w:space="0" w:color="auto"/>
              <w:left w:val="nil"/>
              <w:bottom w:val="nil"/>
              <w:right w:val="nil"/>
            </w:tcBorders>
            <w:vAlign w:val="bottom"/>
          </w:tcPr>
          <w:p w14:paraId="455FD0C0"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sz w:val="18"/>
                <w:szCs w:val="18"/>
                <w:lang w:eastAsia="en-IE"/>
              </w:rPr>
              <w:t>-</w:t>
            </w:r>
          </w:p>
        </w:tc>
        <w:tc>
          <w:tcPr>
            <w:tcW w:w="1276" w:type="dxa"/>
            <w:tcBorders>
              <w:top w:val="single" w:sz="4" w:space="0" w:color="auto"/>
              <w:left w:val="nil"/>
              <w:bottom w:val="nil"/>
              <w:right w:val="nil"/>
            </w:tcBorders>
          </w:tcPr>
          <w:p w14:paraId="07D84240"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sz w:val="18"/>
                <w:szCs w:val="18"/>
                <w:lang w:eastAsia="en-IE"/>
              </w:rPr>
              <w:t>-</w:t>
            </w:r>
          </w:p>
        </w:tc>
        <w:tc>
          <w:tcPr>
            <w:tcW w:w="851" w:type="dxa"/>
            <w:tcBorders>
              <w:top w:val="single" w:sz="4" w:space="0" w:color="auto"/>
              <w:left w:val="nil"/>
              <w:bottom w:val="nil"/>
              <w:right w:val="nil"/>
            </w:tcBorders>
            <w:noWrap/>
            <w:tcMar>
              <w:top w:w="15" w:type="dxa"/>
              <w:left w:w="15" w:type="dxa"/>
              <w:bottom w:w="0" w:type="dxa"/>
              <w:right w:w="15" w:type="dxa"/>
            </w:tcMar>
            <w:vAlign w:val="bottom"/>
          </w:tcPr>
          <w:p w14:paraId="0E724554"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sz w:val="18"/>
                <w:szCs w:val="18"/>
                <w:lang w:eastAsia="en-IE"/>
              </w:rPr>
              <w:t>-</w:t>
            </w:r>
          </w:p>
        </w:tc>
        <w:tc>
          <w:tcPr>
            <w:tcW w:w="708" w:type="dxa"/>
            <w:tcBorders>
              <w:top w:val="single" w:sz="4" w:space="0" w:color="auto"/>
              <w:left w:val="nil"/>
              <w:bottom w:val="nil"/>
              <w:right w:val="nil"/>
            </w:tcBorders>
            <w:noWrap/>
            <w:tcMar>
              <w:top w:w="15" w:type="dxa"/>
              <w:left w:w="15" w:type="dxa"/>
              <w:bottom w:w="0" w:type="dxa"/>
              <w:right w:w="15" w:type="dxa"/>
            </w:tcMar>
            <w:vAlign w:val="bottom"/>
          </w:tcPr>
          <w:p w14:paraId="50DA6435"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sz w:val="18"/>
                <w:szCs w:val="18"/>
                <w:lang w:eastAsia="en-IE"/>
              </w:rPr>
              <w:t>-</w:t>
            </w:r>
          </w:p>
        </w:tc>
      </w:tr>
      <w:bookmarkEnd w:id="7"/>
      <w:bookmarkEnd w:id="8"/>
      <w:tr w:rsidR="00EE0F87" w:rsidRPr="00EE0F87" w14:paraId="4C0A7FEA" w14:textId="77777777" w:rsidTr="00897EB6">
        <w:trPr>
          <w:trHeight w:val="275"/>
        </w:trPr>
        <w:tc>
          <w:tcPr>
            <w:tcW w:w="2835" w:type="dxa"/>
            <w:tcBorders>
              <w:top w:val="nil"/>
              <w:left w:val="nil"/>
              <w:bottom w:val="nil"/>
              <w:right w:val="nil"/>
            </w:tcBorders>
            <w:noWrap/>
            <w:tcMar>
              <w:top w:w="15" w:type="dxa"/>
              <w:left w:w="15" w:type="dxa"/>
              <w:bottom w:w="0" w:type="dxa"/>
              <w:right w:w="15" w:type="dxa"/>
            </w:tcMar>
            <w:vAlign w:val="bottom"/>
          </w:tcPr>
          <w:p w14:paraId="5BCA64DB"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Arial Unicode MS" w:hAnsi="Times New Roman" w:cs="Times New Roman"/>
                <w:b/>
                <w:sz w:val="18"/>
                <w:szCs w:val="18"/>
                <w:lang w:eastAsia="en-IE"/>
              </w:rPr>
            </w:pPr>
            <w:r w:rsidRPr="00EE0F87">
              <w:rPr>
                <w:rFonts w:ascii="Times New Roman" w:eastAsia="Times New Roman" w:hAnsi="Times New Roman" w:cs="Times New Roman"/>
                <w:b/>
                <w:sz w:val="18"/>
                <w:szCs w:val="18"/>
                <w:lang w:eastAsia="en-IE"/>
              </w:rPr>
              <w:t>At 31 December 2022</w:t>
            </w:r>
          </w:p>
        </w:tc>
        <w:tc>
          <w:tcPr>
            <w:tcW w:w="851" w:type="dxa"/>
            <w:tcBorders>
              <w:top w:val="single" w:sz="4" w:space="0" w:color="auto"/>
              <w:left w:val="nil"/>
              <w:bottom w:val="double" w:sz="6" w:space="0" w:color="auto"/>
              <w:right w:val="nil"/>
            </w:tcBorders>
            <w:noWrap/>
            <w:tcMar>
              <w:top w:w="15" w:type="dxa"/>
              <w:left w:w="15" w:type="dxa"/>
              <w:bottom w:w="0" w:type="dxa"/>
              <w:right w:w="15" w:type="dxa"/>
            </w:tcMar>
            <w:vAlign w:val="bottom"/>
          </w:tcPr>
          <w:p w14:paraId="7E8BFB7F"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sz w:val="18"/>
                <w:szCs w:val="18"/>
                <w:lang w:eastAsia="en-IE"/>
              </w:rPr>
              <w:t>564</w:t>
            </w:r>
          </w:p>
        </w:tc>
        <w:tc>
          <w:tcPr>
            <w:tcW w:w="1134" w:type="dxa"/>
            <w:tcBorders>
              <w:top w:val="single" w:sz="4" w:space="0" w:color="auto"/>
              <w:left w:val="nil"/>
              <w:bottom w:val="double" w:sz="6" w:space="0" w:color="auto"/>
              <w:right w:val="nil"/>
            </w:tcBorders>
            <w:noWrap/>
            <w:tcMar>
              <w:top w:w="15" w:type="dxa"/>
              <w:left w:w="15" w:type="dxa"/>
              <w:bottom w:w="0" w:type="dxa"/>
              <w:right w:w="15" w:type="dxa"/>
            </w:tcMar>
            <w:vAlign w:val="bottom"/>
          </w:tcPr>
          <w:p w14:paraId="5B3C4473"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sz w:val="18"/>
                <w:szCs w:val="18"/>
                <w:lang w:eastAsia="en-IE"/>
              </w:rPr>
              <w:t>-</w:t>
            </w:r>
          </w:p>
        </w:tc>
        <w:tc>
          <w:tcPr>
            <w:tcW w:w="850" w:type="dxa"/>
            <w:tcBorders>
              <w:top w:val="single" w:sz="4" w:space="0" w:color="auto"/>
              <w:left w:val="nil"/>
              <w:bottom w:val="double" w:sz="6" w:space="0" w:color="auto"/>
              <w:right w:val="nil"/>
            </w:tcBorders>
            <w:vAlign w:val="bottom"/>
          </w:tcPr>
          <w:p w14:paraId="321ADFCC"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18"/>
                <w:szCs w:val="18"/>
                <w:lang w:eastAsia="en-IE"/>
              </w:rPr>
            </w:pPr>
            <w:r w:rsidRPr="00EE0F87">
              <w:rPr>
                <w:rFonts w:ascii="Times New Roman" w:eastAsia="Times New Roman" w:hAnsi="Times New Roman" w:cs="Times New Roman"/>
                <w:b/>
                <w:bCs/>
                <w:sz w:val="18"/>
                <w:szCs w:val="18"/>
                <w:lang w:eastAsia="en-IE"/>
              </w:rPr>
              <w:t>(68)</w:t>
            </w:r>
          </w:p>
        </w:tc>
        <w:tc>
          <w:tcPr>
            <w:tcW w:w="1276" w:type="dxa"/>
            <w:tcBorders>
              <w:top w:val="single" w:sz="4" w:space="0" w:color="auto"/>
              <w:left w:val="nil"/>
              <w:bottom w:val="double" w:sz="6" w:space="0" w:color="auto"/>
              <w:right w:val="nil"/>
            </w:tcBorders>
            <w:vAlign w:val="bottom"/>
          </w:tcPr>
          <w:p w14:paraId="4C085DCA"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sz w:val="18"/>
                <w:szCs w:val="18"/>
                <w:lang w:eastAsia="en-IE"/>
              </w:rPr>
              <w:t>-</w:t>
            </w:r>
          </w:p>
        </w:tc>
        <w:tc>
          <w:tcPr>
            <w:tcW w:w="851" w:type="dxa"/>
            <w:tcBorders>
              <w:top w:val="single" w:sz="4" w:space="0" w:color="auto"/>
              <w:left w:val="nil"/>
              <w:bottom w:val="double" w:sz="6" w:space="0" w:color="auto"/>
              <w:right w:val="nil"/>
            </w:tcBorders>
            <w:noWrap/>
            <w:tcMar>
              <w:top w:w="15" w:type="dxa"/>
              <w:left w:w="15" w:type="dxa"/>
              <w:bottom w:w="0" w:type="dxa"/>
              <w:right w:w="15" w:type="dxa"/>
            </w:tcMar>
            <w:vAlign w:val="bottom"/>
          </w:tcPr>
          <w:p w14:paraId="7802EF90"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bCs/>
                <w:sz w:val="18"/>
                <w:szCs w:val="18"/>
                <w:lang w:eastAsia="en-IE"/>
              </w:rPr>
              <w:t>5,204</w:t>
            </w:r>
          </w:p>
        </w:tc>
        <w:tc>
          <w:tcPr>
            <w:tcW w:w="708" w:type="dxa"/>
            <w:tcBorders>
              <w:top w:val="single" w:sz="4" w:space="0" w:color="auto"/>
              <w:left w:val="nil"/>
              <w:bottom w:val="double" w:sz="6" w:space="0" w:color="auto"/>
              <w:right w:val="nil"/>
            </w:tcBorders>
            <w:noWrap/>
            <w:tcMar>
              <w:top w:w="15" w:type="dxa"/>
              <w:left w:w="15" w:type="dxa"/>
              <w:bottom w:w="0" w:type="dxa"/>
              <w:right w:w="15" w:type="dxa"/>
            </w:tcMar>
            <w:vAlign w:val="bottom"/>
          </w:tcPr>
          <w:p w14:paraId="23AD57B5"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Arial Unicode MS" w:hAnsi="Times New Roman" w:cs="Times New Roman"/>
                <w:b/>
                <w:sz w:val="18"/>
                <w:szCs w:val="18"/>
                <w:lang w:eastAsia="en-IE"/>
              </w:rPr>
            </w:pPr>
            <w:r w:rsidRPr="00EE0F87">
              <w:rPr>
                <w:rFonts w:ascii="Times New Roman" w:eastAsia="Arial Unicode MS" w:hAnsi="Times New Roman" w:cs="Times New Roman"/>
                <w:b/>
                <w:bCs/>
                <w:sz w:val="18"/>
                <w:szCs w:val="18"/>
                <w:lang w:eastAsia="en-IE"/>
              </w:rPr>
              <w:t>5,700</w:t>
            </w:r>
          </w:p>
        </w:tc>
      </w:tr>
    </w:tbl>
    <w:p w14:paraId="49DA0096" w14:textId="77777777" w:rsidR="00EE0F87" w:rsidRPr="00EE0F87" w:rsidRDefault="00EE0F87" w:rsidP="00EE0F87">
      <w:pPr>
        <w:widowControl w:val="0"/>
        <w:overflowPunct w:val="0"/>
        <w:autoSpaceDE w:val="0"/>
        <w:autoSpaceDN w:val="0"/>
        <w:adjustRightInd w:val="0"/>
        <w:spacing w:after="0" w:line="216" w:lineRule="auto"/>
        <w:textAlignment w:val="baseline"/>
        <w:rPr>
          <w:rFonts w:ascii="Times New Roman" w:eastAsia="Times New Roman" w:hAnsi="Times New Roman" w:cs="Times New Roman"/>
          <w:sz w:val="36"/>
          <w:szCs w:val="20"/>
          <w:lang w:eastAsia="en-IE"/>
        </w:rPr>
      </w:pPr>
    </w:p>
    <w:p w14:paraId="4B554665" w14:textId="77777777" w:rsidR="00EE0F87" w:rsidRPr="00EE0F87" w:rsidRDefault="00EE0F87" w:rsidP="00EE0F87">
      <w:pPr>
        <w:widowControl w:val="0"/>
        <w:overflowPunct w:val="0"/>
        <w:autoSpaceDE w:val="0"/>
        <w:autoSpaceDN w:val="0"/>
        <w:adjustRightInd w:val="0"/>
        <w:spacing w:after="0" w:line="216" w:lineRule="auto"/>
        <w:textAlignment w:val="baseline"/>
        <w:rPr>
          <w:rFonts w:ascii="Times New Roman" w:eastAsia="Times New Roman" w:hAnsi="Times New Roman" w:cs="Times New Roman"/>
          <w:sz w:val="24"/>
          <w:szCs w:val="24"/>
          <w:lang w:eastAsia="en-IE"/>
        </w:rPr>
      </w:pPr>
      <w:r w:rsidRPr="00EE0F87">
        <w:rPr>
          <w:rFonts w:ascii="Times" w:eastAsia="Times New Roman" w:hAnsi="Times" w:cs="Times New Roman"/>
          <w:sz w:val="36"/>
          <w:szCs w:val="20"/>
          <w:lang w:eastAsia="en-IE"/>
        </w:rPr>
        <w:br w:type="page"/>
      </w:r>
      <w:r w:rsidRPr="00EE0F87">
        <w:rPr>
          <w:rFonts w:ascii="Times" w:eastAsia="Times New Roman" w:hAnsi="Times" w:cs="Times New Roman"/>
          <w:b/>
          <w:bCs/>
          <w:caps/>
          <w:color w:val="000000"/>
          <w:lang w:eastAsia="en-GB"/>
        </w:rPr>
        <w:lastRenderedPageBreak/>
        <w:t xml:space="preserve">Consolidated Cash Flow Statement  </w:t>
      </w:r>
    </w:p>
    <w:tbl>
      <w:tblPr>
        <w:tblW w:w="8490" w:type="dxa"/>
        <w:tblInd w:w="15" w:type="dxa"/>
        <w:tblLayout w:type="fixed"/>
        <w:tblCellMar>
          <w:left w:w="0" w:type="dxa"/>
          <w:right w:w="0" w:type="dxa"/>
        </w:tblCellMar>
        <w:tblLook w:val="0000" w:firstRow="0" w:lastRow="0" w:firstColumn="0" w:lastColumn="0" w:noHBand="0" w:noVBand="0"/>
      </w:tblPr>
      <w:tblGrid>
        <w:gridCol w:w="5387"/>
        <w:gridCol w:w="127"/>
        <w:gridCol w:w="865"/>
        <w:gridCol w:w="1007"/>
        <w:gridCol w:w="1104"/>
      </w:tblGrid>
      <w:tr w:rsidR="00EE0F87" w:rsidRPr="00EE0F87" w14:paraId="574F8B99"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217A6A9C"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 xml:space="preserve"> </w:t>
            </w:r>
            <w:r w:rsidRPr="00EE0F87">
              <w:rPr>
                <w:rFonts w:ascii="Times New Roman" w:eastAsia="Times New Roman" w:hAnsi="Times New Roman" w:cs="Times New Roman"/>
                <w:i/>
                <w:sz w:val="20"/>
                <w:lang w:eastAsia="en-IE"/>
              </w:rPr>
              <w:t>for the financial year ended 31 December 2022</w:t>
            </w:r>
          </w:p>
        </w:tc>
        <w:tc>
          <w:tcPr>
            <w:tcW w:w="992" w:type="dxa"/>
            <w:gridSpan w:val="2"/>
            <w:tcBorders>
              <w:top w:val="nil"/>
              <w:left w:val="nil"/>
              <w:right w:val="nil"/>
            </w:tcBorders>
          </w:tcPr>
          <w:p w14:paraId="705894F2" w14:textId="4FF06241"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bCs/>
                <w:sz w:val="20"/>
                <w:lang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1157038D"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2022</w:t>
            </w:r>
          </w:p>
        </w:tc>
        <w:tc>
          <w:tcPr>
            <w:tcW w:w="1104" w:type="dxa"/>
            <w:tcBorders>
              <w:top w:val="nil"/>
              <w:left w:val="nil"/>
              <w:bottom w:val="nil"/>
              <w:right w:val="nil"/>
            </w:tcBorders>
            <w:noWrap/>
            <w:tcMar>
              <w:top w:w="15" w:type="dxa"/>
              <w:left w:w="15" w:type="dxa"/>
              <w:bottom w:w="0" w:type="dxa"/>
              <w:right w:w="15" w:type="dxa"/>
            </w:tcMar>
            <w:vAlign w:val="bottom"/>
          </w:tcPr>
          <w:p w14:paraId="522FE09C"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Restated</w:t>
            </w:r>
          </w:p>
          <w:p w14:paraId="11C896D8"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2021</w:t>
            </w:r>
          </w:p>
        </w:tc>
      </w:tr>
      <w:tr w:rsidR="00EE0F87" w:rsidRPr="00EE0F87" w14:paraId="010AC78D"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21AB5017"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lang w:eastAsia="en-IE"/>
              </w:rPr>
            </w:pPr>
          </w:p>
        </w:tc>
        <w:tc>
          <w:tcPr>
            <w:tcW w:w="992" w:type="dxa"/>
            <w:gridSpan w:val="2"/>
            <w:tcBorders>
              <w:top w:val="nil"/>
              <w:left w:val="nil"/>
              <w:bottom w:val="nil"/>
              <w:right w:val="nil"/>
            </w:tcBorders>
          </w:tcPr>
          <w:p w14:paraId="442C3E39"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top w:val="nil"/>
              <w:left w:val="nil"/>
              <w:bottom w:val="nil"/>
              <w:right w:val="nil"/>
            </w:tcBorders>
            <w:noWrap/>
            <w:tcMar>
              <w:top w:w="15" w:type="dxa"/>
              <w:left w:w="15" w:type="dxa"/>
              <w:bottom w:w="0" w:type="dxa"/>
              <w:right w:w="15" w:type="dxa"/>
            </w:tcMar>
          </w:tcPr>
          <w:p w14:paraId="705BEF90"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£’000</w:t>
            </w:r>
          </w:p>
        </w:tc>
        <w:tc>
          <w:tcPr>
            <w:tcW w:w="1104" w:type="dxa"/>
            <w:tcBorders>
              <w:top w:val="nil"/>
              <w:left w:val="nil"/>
              <w:bottom w:val="nil"/>
              <w:right w:val="nil"/>
            </w:tcBorders>
            <w:noWrap/>
            <w:tcMar>
              <w:top w:w="15" w:type="dxa"/>
              <w:left w:w="15" w:type="dxa"/>
              <w:bottom w:w="0" w:type="dxa"/>
              <w:right w:w="15" w:type="dxa"/>
            </w:tcMar>
            <w:vAlign w:val="bottom"/>
          </w:tcPr>
          <w:p w14:paraId="120265DF"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£’000</w:t>
            </w:r>
          </w:p>
        </w:tc>
      </w:tr>
      <w:tr w:rsidR="00EE0F87" w:rsidRPr="00EE0F87" w14:paraId="2D9331ED" w14:textId="77777777" w:rsidTr="00897EB6">
        <w:trPr>
          <w:trHeight w:val="117"/>
        </w:trPr>
        <w:tc>
          <w:tcPr>
            <w:tcW w:w="5387" w:type="dxa"/>
            <w:tcBorders>
              <w:top w:val="nil"/>
              <w:left w:val="nil"/>
              <w:bottom w:val="nil"/>
              <w:right w:val="nil"/>
            </w:tcBorders>
            <w:noWrap/>
            <w:tcMar>
              <w:top w:w="15" w:type="dxa"/>
              <w:left w:w="15" w:type="dxa"/>
              <w:bottom w:w="0" w:type="dxa"/>
              <w:right w:w="15" w:type="dxa"/>
            </w:tcMar>
            <w:vAlign w:val="bottom"/>
          </w:tcPr>
          <w:p w14:paraId="15960DCB"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bCs/>
                <w:sz w:val="20"/>
                <w:lang w:eastAsia="en-IE"/>
              </w:rPr>
            </w:pPr>
            <w:r w:rsidRPr="00EE0F87">
              <w:rPr>
                <w:rFonts w:ascii="Times New Roman" w:eastAsia="Times New Roman" w:hAnsi="Times New Roman" w:cs="Times New Roman"/>
                <w:b/>
                <w:bCs/>
                <w:sz w:val="20"/>
                <w:lang w:eastAsia="en-IE"/>
              </w:rPr>
              <w:t xml:space="preserve">Cash flow from operating activities </w:t>
            </w:r>
          </w:p>
        </w:tc>
        <w:tc>
          <w:tcPr>
            <w:tcW w:w="992" w:type="dxa"/>
            <w:gridSpan w:val="2"/>
            <w:tcBorders>
              <w:top w:val="nil"/>
              <w:left w:val="nil"/>
              <w:bottom w:val="nil"/>
              <w:right w:val="nil"/>
            </w:tcBorders>
          </w:tcPr>
          <w:p w14:paraId="389BE69C"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top w:val="nil"/>
              <w:left w:val="nil"/>
              <w:bottom w:val="nil"/>
              <w:right w:val="nil"/>
            </w:tcBorders>
            <w:noWrap/>
            <w:tcMar>
              <w:top w:w="15" w:type="dxa"/>
              <w:left w:w="15" w:type="dxa"/>
              <w:bottom w:w="0" w:type="dxa"/>
              <w:right w:w="15" w:type="dxa"/>
            </w:tcMar>
          </w:tcPr>
          <w:p w14:paraId="4FEAC70D"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20"/>
                <w:lang w:eastAsia="en-IE"/>
              </w:rPr>
            </w:pPr>
          </w:p>
        </w:tc>
        <w:tc>
          <w:tcPr>
            <w:tcW w:w="1104" w:type="dxa"/>
            <w:tcBorders>
              <w:top w:val="nil"/>
              <w:left w:val="nil"/>
              <w:bottom w:val="nil"/>
              <w:right w:val="nil"/>
            </w:tcBorders>
            <w:noWrap/>
            <w:tcMar>
              <w:top w:w="15" w:type="dxa"/>
              <w:left w:w="15" w:type="dxa"/>
              <w:bottom w:w="0" w:type="dxa"/>
              <w:right w:w="15" w:type="dxa"/>
            </w:tcMar>
            <w:vAlign w:val="bottom"/>
          </w:tcPr>
          <w:p w14:paraId="7CE30DBE"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lang w:eastAsia="en-IE"/>
              </w:rPr>
            </w:pPr>
          </w:p>
        </w:tc>
      </w:tr>
      <w:tr w:rsidR="00EE0F87" w:rsidRPr="00EE0F87" w14:paraId="6D6A50BD"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02EF2D57"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bCs/>
                <w:sz w:val="20"/>
                <w:lang w:eastAsia="en-IE"/>
              </w:rPr>
              <w:t xml:space="preserve">Profit/(loss) on continuing activities before taxation </w:t>
            </w:r>
          </w:p>
        </w:tc>
        <w:tc>
          <w:tcPr>
            <w:tcW w:w="992" w:type="dxa"/>
            <w:gridSpan w:val="2"/>
            <w:tcBorders>
              <w:top w:val="nil"/>
              <w:left w:val="nil"/>
              <w:bottom w:val="nil"/>
              <w:right w:val="nil"/>
            </w:tcBorders>
          </w:tcPr>
          <w:p w14:paraId="2CAB06B9"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382DAFD1"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217</w:t>
            </w:r>
          </w:p>
        </w:tc>
        <w:tc>
          <w:tcPr>
            <w:tcW w:w="1104" w:type="dxa"/>
            <w:tcBorders>
              <w:top w:val="nil"/>
              <w:left w:val="nil"/>
              <w:bottom w:val="nil"/>
              <w:right w:val="nil"/>
            </w:tcBorders>
            <w:noWrap/>
            <w:tcMar>
              <w:top w:w="15" w:type="dxa"/>
              <w:left w:w="15" w:type="dxa"/>
              <w:bottom w:w="0" w:type="dxa"/>
              <w:right w:w="15" w:type="dxa"/>
            </w:tcMar>
            <w:vAlign w:val="bottom"/>
          </w:tcPr>
          <w:p w14:paraId="4BBEAFC7"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(1,066)</w:t>
            </w:r>
          </w:p>
        </w:tc>
      </w:tr>
      <w:tr w:rsidR="00EE0F87" w:rsidRPr="00EE0F87" w14:paraId="335D1AB3"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22A84EA2"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r w:rsidRPr="00EE0F87">
              <w:rPr>
                <w:rFonts w:ascii="Times New Roman" w:eastAsia="Times New Roman" w:hAnsi="Times New Roman" w:cs="Times New Roman"/>
                <w:bCs/>
                <w:sz w:val="20"/>
                <w:lang w:eastAsia="en-IE"/>
              </w:rPr>
              <w:t>Gain on biological assets</w:t>
            </w:r>
          </w:p>
        </w:tc>
        <w:tc>
          <w:tcPr>
            <w:tcW w:w="992" w:type="dxa"/>
            <w:gridSpan w:val="2"/>
            <w:tcBorders>
              <w:top w:val="nil"/>
              <w:left w:val="nil"/>
              <w:bottom w:val="nil"/>
              <w:right w:val="nil"/>
            </w:tcBorders>
          </w:tcPr>
          <w:p w14:paraId="2DDD6CF4"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22A986C9"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(182)</w:t>
            </w:r>
          </w:p>
        </w:tc>
        <w:tc>
          <w:tcPr>
            <w:tcW w:w="1104" w:type="dxa"/>
            <w:tcBorders>
              <w:top w:val="nil"/>
              <w:left w:val="nil"/>
              <w:bottom w:val="nil"/>
              <w:right w:val="nil"/>
            </w:tcBorders>
            <w:noWrap/>
            <w:tcMar>
              <w:top w:w="15" w:type="dxa"/>
              <w:left w:w="15" w:type="dxa"/>
              <w:bottom w:w="0" w:type="dxa"/>
              <w:right w:w="15" w:type="dxa"/>
            </w:tcMar>
            <w:vAlign w:val="bottom"/>
          </w:tcPr>
          <w:p w14:paraId="5CA4A50F"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(161)</w:t>
            </w:r>
          </w:p>
        </w:tc>
      </w:tr>
      <w:tr w:rsidR="00EE0F87" w:rsidRPr="00EE0F87" w14:paraId="75D41005"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15D60E3C"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r w:rsidRPr="00EE0F87">
              <w:rPr>
                <w:rFonts w:ascii="Times New Roman" w:eastAsia="Times New Roman" w:hAnsi="Times New Roman" w:cs="Times New Roman"/>
                <w:bCs/>
                <w:sz w:val="20"/>
                <w:lang w:eastAsia="en-IE"/>
              </w:rPr>
              <w:t xml:space="preserve">Loss on sale of biological assets </w:t>
            </w:r>
          </w:p>
        </w:tc>
        <w:tc>
          <w:tcPr>
            <w:tcW w:w="992" w:type="dxa"/>
            <w:gridSpan w:val="2"/>
            <w:tcBorders>
              <w:top w:val="nil"/>
              <w:left w:val="nil"/>
              <w:bottom w:val="nil"/>
              <w:right w:val="nil"/>
            </w:tcBorders>
          </w:tcPr>
          <w:p w14:paraId="4FECD908"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4C4EDB73"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117</w:t>
            </w:r>
          </w:p>
        </w:tc>
        <w:tc>
          <w:tcPr>
            <w:tcW w:w="1104" w:type="dxa"/>
            <w:tcBorders>
              <w:top w:val="nil"/>
              <w:left w:val="nil"/>
              <w:bottom w:val="nil"/>
              <w:right w:val="nil"/>
            </w:tcBorders>
            <w:noWrap/>
            <w:tcMar>
              <w:top w:w="15" w:type="dxa"/>
              <w:left w:w="15" w:type="dxa"/>
              <w:bottom w:w="0" w:type="dxa"/>
              <w:right w:w="15" w:type="dxa"/>
            </w:tcMar>
            <w:vAlign w:val="bottom"/>
          </w:tcPr>
          <w:p w14:paraId="0845B8ED"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w:t>
            </w:r>
          </w:p>
        </w:tc>
      </w:tr>
      <w:tr w:rsidR="00EE0F87" w:rsidRPr="00EE0F87" w14:paraId="4973A546"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63778B4C"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 xml:space="preserve">Foreign exchange gain </w:t>
            </w:r>
          </w:p>
        </w:tc>
        <w:tc>
          <w:tcPr>
            <w:tcW w:w="992" w:type="dxa"/>
            <w:gridSpan w:val="2"/>
            <w:tcBorders>
              <w:top w:val="nil"/>
              <w:left w:val="nil"/>
              <w:bottom w:val="nil"/>
              <w:right w:val="nil"/>
            </w:tcBorders>
          </w:tcPr>
          <w:p w14:paraId="7C27C9A2"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1D6F42B1"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(201)</w:t>
            </w:r>
          </w:p>
        </w:tc>
        <w:tc>
          <w:tcPr>
            <w:tcW w:w="1104" w:type="dxa"/>
            <w:tcBorders>
              <w:top w:val="nil"/>
              <w:left w:val="nil"/>
              <w:bottom w:val="nil"/>
              <w:right w:val="nil"/>
            </w:tcBorders>
            <w:noWrap/>
            <w:tcMar>
              <w:top w:w="15" w:type="dxa"/>
              <w:left w:w="15" w:type="dxa"/>
              <w:bottom w:w="0" w:type="dxa"/>
              <w:right w:w="15" w:type="dxa"/>
            </w:tcMar>
            <w:vAlign w:val="bottom"/>
          </w:tcPr>
          <w:p w14:paraId="505E3713"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(50)</w:t>
            </w:r>
          </w:p>
        </w:tc>
      </w:tr>
      <w:tr w:rsidR="00EE0F87" w:rsidRPr="00EE0F87" w14:paraId="310BCD7A"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7498524E"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 xml:space="preserve">Loss on discontinued activities </w:t>
            </w:r>
          </w:p>
        </w:tc>
        <w:tc>
          <w:tcPr>
            <w:tcW w:w="992" w:type="dxa"/>
            <w:gridSpan w:val="2"/>
            <w:tcBorders>
              <w:top w:val="nil"/>
              <w:left w:val="nil"/>
              <w:bottom w:val="nil"/>
              <w:right w:val="nil"/>
            </w:tcBorders>
          </w:tcPr>
          <w:p w14:paraId="129A7F69"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4C16A966"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(1,404)</w:t>
            </w:r>
          </w:p>
        </w:tc>
        <w:tc>
          <w:tcPr>
            <w:tcW w:w="1104" w:type="dxa"/>
            <w:tcBorders>
              <w:top w:val="nil"/>
              <w:left w:val="nil"/>
              <w:bottom w:val="nil"/>
              <w:right w:val="nil"/>
            </w:tcBorders>
            <w:noWrap/>
            <w:tcMar>
              <w:top w:w="15" w:type="dxa"/>
              <w:left w:w="15" w:type="dxa"/>
              <w:bottom w:w="0" w:type="dxa"/>
              <w:right w:w="15" w:type="dxa"/>
            </w:tcMar>
            <w:vAlign w:val="bottom"/>
          </w:tcPr>
          <w:p w14:paraId="1C6D881F"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(270)</w:t>
            </w:r>
          </w:p>
        </w:tc>
      </w:tr>
      <w:tr w:rsidR="00EE0F87" w:rsidRPr="00EE0F87" w14:paraId="78269E12"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2CD68E59"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Finance expenses</w:t>
            </w:r>
          </w:p>
        </w:tc>
        <w:tc>
          <w:tcPr>
            <w:tcW w:w="992" w:type="dxa"/>
            <w:gridSpan w:val="2"/>
            <w:tcBorders>
              <w:top w:val="nil"/>
              <w:left w:val="nil"/>
              <w:bottom w:val="nil"/>
              <w:right w:val="nil"/>
            </w:tcBorders>
          </w:tcPr>
          <w:p w14:paraId="3E1FBBAE"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626FE9C3"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128</w:t>
            </w:r>
          </w:p>
        </w:tc>
        <w:tc>
          <w:tcPr>
            <w:tcW w:w="1104" w:type="dxa"/>
            <w:tcBorders>
              <w:top w:val="nil"/>
              <w:left w:val="nil"/>
              <w:bottom w:val="nil"/>
              <w:right w:val="nil"/>
            </w:tcBorders>
            <w:noWrap/>
            <w:tcMar>
              <w:top w:w="15" w:type="dxa"/>
              <w:left w:w="15" w:type="dxa"/>
              <w:bottom w:w="0" w:type="dxa"/>
              <w:right w:w="15" w:type="dxa"/>
            </w:tcMar>
            <w:vAlign w:val="bottom"/>
          </w:tcPr>
          <w:p w14:paraId="7A67B8BA"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62</w:t>
            </w:r>
          </w:p>
        </w:tc>
      </w:tr>
      <w:tr w:rsidR="00EE0F87" w:rsidRPr="00EE0F87" w14:paraId="274F745E"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7C8B04F5"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Finance income</w:t>
            </w:r>
          </w:p>
        </w:tc>
        <w:tc>
          <w:tcPr>
            <w:tcW w:w="992" w:type="dxa"/>
            <w:gridSpan w:val="2"/>
            <w:tcBorders>
              <w:top w:val="nil"/>
              <w:left w:val="nil"/>
              <w:bottom w:val="nil"/>
              <w:right w:val="nil"/>
            </w:tcBorders>
          </w:tcPr>
          <w:p w14:paraId="7C4A24E9"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4376ECDD"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(9)</w:t>
            </w:r>
          </w:p>
        </w:tc>
        <w:tc>
          <w:tcPr>
            <w:tcW w:w="1104" w:type="dxa"/>
            <w:tcBorders>
              <w:top w:val="nil"/>
              <w:left w:val="nil"/>
              <w:bottom w:val="nil"/>
              <w:right w:val="nil"/>
            </w:tcBorders>
            <w:noWrap/>
            <w:tcMar>
              <w:top w:w="15" w:type="dxa"/>
              <w:left w:w="15" w:type="dxa"/>
              <w:bottom w:w="0" w:type="dxa"/>
              <w:right w:w="15" w:type="dxa"/>
            </w:tcMar>
            <w:vAlign w:val="bottom"/>
          </w:tcPr>
          <w:p w14:paraId="4469BB9E"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w:t>
            </w:r>
          </w:p>
        </w:tc>
      </w:tr>
      <w:tr w:rsidR="00EE0F87" w:rsidRPr="00EE0F87" w14:paraId="653ABA51"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2E2FF711"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Bad debt expense</w:t>
            </w:r>
          </w:p>
        </w:tc>
        <w:tc>
          <w:tcPr>
            <w:tcW w:w="992" w:type="dxa"/>
            <w:gridSpan w:val="2"/>
            <w:tcBorders>
              <w:top w:val="nil"/>
              <w:left w:val="nil"/>
              <w:bottom w:val="nil"/>
              <w:right w:val="nil"/>
            </w:tcBorders>
          </w:tcPr>
          <w:p w14:paraId="01261482"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2CED5DB9"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41</w:t>
            </w:r>
          </w:p>
        </w:tc>
        <w:tc>
          <w:tcPr>
            <w:tcW w:w="1104" w:type="dxa"/>
            <w:tcBorders>
              <w:top w:val="nil"/>
              <w:left w:val="nil"/>
              <w:bottom w:val="nil"/>
              <w:right w:val="nil"/>
            </w:tcBorders>
            <w:noWrap/>
            <w:tcMar>
              <w:top w:w="15" w:type="dxa"/>
              <w:left w:w="15" w:type="dxa"/>
              <w:bottom w:w="0" w:type="dxa"/>
              <w:right w:w="15" w:type="dxa"/>
            </w:tcMar>
            <w:vAlign w:val="bottom"/>
          </w:tcPr>
          <w:p w14:paraId="29315947"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13</w:t>
            </w:r>
          </w:p>
        </w:tc>
      </w:tr>
      <w:tr w:rsidR="00EE0F87" w:rsidRPr="00EE0F87" w14:paraId="0C55F5BE"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190A9C7E"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Taxation charge</w:t>
            </w:r>
          </w:p>
        </w:tc>
        <w:tc>
          <w:tcPr>
            <w:tcW w:w="992" w:type="dxa"/>
            <w:gridSpan w:val="2"/>
            <w:tcBorders>
              <w:top w:val="nil"/>
              <w:left w:val="nil"/>
              <w:bottom w:val="nil"/>
              <w:right w:val="nil"/>
            </w:tcBorders>
          </w:tcPr>
          <w:p w14:paraId="47224E83"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0A2ACF09"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(40)</w:t>
            </w:r>
          </w:p>
        </w:tc>
        <w:tc>
          <w:tcPr>
            <w:tcW w:w="1104" w:type="dxa"/>
            <w:tcBorders>
              <w:top w:val="nil"/>
              <w:left w:val="nil"/>
              <w:bottom w:val="nil"/>
              <w:right w:val="nil"/>
            </w:tcBorders>
            <w:noWrap/>
            <w:tcMar>
              <w:top w:w="15" w:type="dxa"/>
              <w:left w:w="15" w:type="dxa"/>
              <w:bottom w:w="0" w:type="dxa"/>
              <w:right w:w="15" w:type="dxa"/>
            </w:tcMar>
            <w:vAlign w:val="bottom"/>
          </w:tcPr>
          <w:p w14:paraId="27553EC6"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(5)</w:t>
            </w:r>
          </w:p>
        </w:tc>
      </w:tr>
      <w:tr w:rsidR="00EE0F87" w:rsidRPr="00EE0F87" w14:paraId="591EAFF7"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58C13C42"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 xml:space="preserve">Impairment – Intangible asset </w:t>
            </w:r>
          </w:p>
        </w:tc>
        <w:tc>
          <w:tcPr>
            <w:tcW w:w="992" w:type="dxa"/>
            <w:gridSpan w:val="2"/>
            <w:tcBorders>
              <w:top w:val="nil"/>
              <w:left w:val="nil"/>
              <w:bottom w:val="nil"/>
              <w:right w:val="nil"/>
            </w:tcBorders>
          </w:tcPr>
          <w:p w14:paraId="08319FB3"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72C842D5"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665</w:t>
            </w:r>
          </w:p>
        </w:tc>
        <w:tc>
          <w:tcPr>
            <w:tcW w:w="1104" w:type="dxa"/>
            <w:tcBorders>
              <w:top w:val="nil"/>
              <w:left w:val="nil"/>
              <w:bottom w:val="nil"/>
              <w:right w:val="nil"/>
            </w:tcBorders>
            <w:noWrap/>
            <w:tcMar>
              <w:top w:w="15" w:type="dxa"/>
              <w:left w:w="15" w:type="dxa"/>
              <w:bottom w:w="0" w:type="dxa"/>
              <w:right w:w="15" w:type="dxa"/>
            </w:tcMar>
            <w:vAlign w:val="bottom"/>
          </w:tcPr>
          <w:p w14:paraId="07B8D70D"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860</w:t>
            </w:r>
          </w:p>
        </w:tc>
      </w:tr>
      <w:tr w:rsidR="00EE0F87" w:rsidRPr="00EE0F87" w14:paraId="2C8028BD"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095170F3"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Impairment – property, plant and equipment</w:t>
            </w:r>
          </w:p>
        </w:tc>
        <w:tc>
          <w:tcPr>
            <w:tcW w:w="992" w:type="dxa"/>
            <w:gridSpan w:val="2"/>
            <w:tcBorders>
              <w:top w:val="nil"/>
              <w:left w:val="nil"/>
              <w:bottom w:val="nil"/>
              <w:right w:val="nil"/>
            </w:tcBorders>
          </w:tcPr>
          <w:p w14:paraId="1466C211"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452FCAF6"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w:t>
            </w:r>
          </w:p>
        </w:tc>
        <w:tc>
          <w:tcPr>
            <w:tcW w:w="1104" w:type="dxa"/>
            <w:tcBorders>
              <w:top w:val="nil"/>
              <w:left w:val="nil"/>
              <w:bottom w:val="nil"/>
              <w:right w:val="nil"/>
            </w:tcBorders>
            <w:noWrap/>
            <w:tcMar>
              <w:top w:w="15" w:type="dxa"/>
              <w:left w:w="15" w:type="dxa"/>
              <w:bottom w:w="0" w:type="dxa"/>
              <w:right w:w="15" w:type="dxa"/>
            </w:tcMar>
            <w:vAlign w:val="bottom"/>
          </w:tcPr>
          <w:p w14:paraId="558A0F77"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1,519</w:t>
            </w:r>
          </w:p>
        </w:tc>
      </w:tr>
      <w:tr w:rsidR="00EE0F87" w:rsidRPr="00EE0F87" w14:paraId="0ECCDA37"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4BA7B2B3"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Depreciation – property, plant and equipment</w:t>
            </w:r>
          </w:p>
        </w:tc>
        <w:tc>
          <w:tcPr>
            <w:tcW w:w="992" w:type="dxa"/>
            <w:gridSpan w:val="2"/>
            <w:tcBorders>
              <w:top w:val="nil"/>
              <w:left w:val="nil"/>
              <w:bottom w:val="nil"/>
              <w:right w:val="nil"/>
            </w:tcBorders>
          </w:tcPr>
          <w:p w14:paraId="7B7F6746"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top w:val="nil"/>
              <w:left w:val="nil"/>
              <w:right w:val="nil"/>
            </w:tcBorders>
            <w:noWrap/>
            <w:tcMar>
              <w:top w:w="15" w:type="dxa"/>
              <w:left w:w="15" w:type="dxa"/>
              <w:bottom w:w="0" w:type="dxa"/>
              <w:right w:w="15" w:type="dxa"/>
            </w:tcMar>
            <w:vAlign w:val="bottom"/>
          </w:tcPr>
          <w:p w14:paraId="61A9D7FF"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191</w:t>
            </w:r>
          </w:p>
        </w:tc>
        <w:tc>
          <w:tcPr>
            <w:tcW w:w="1104" w:type="dxa"/>
            <w:tcBorders>
              <w:top w:val="nil"/>
              <w:left w:val="nil"/>
              <w:right w:val="nil"/>
            </w:tcBorders>
            <w:noWrap/>
            <w:tcMar>
              <w:top w:w="15" w:type="dxa"/>
              <w:left w:w="15" w:type="dxa"/>
              <w:bottom w:w="0" w:type="dxa"/>
              <w:right w:w="15" w:type="dxa"/>
            </w:tcMar>
            <w:vAlign w:val="bottom"/>
          </w:tcPr>
          <w:p w14:paraId="4BD03D4F"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1,699</w:t>
            </w:r>
          </w:p>
        </w:tc>
      </w:tr>
      <w:tr w:rsidR="00EE0F87" w:rsidRPr="00EE0F87" w14:paraId="72270BEB"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63DC33A4"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 xml:space="preserve">Operating cash flows before changes in working capital </w:t>
            </w:r>
          </w:p>
        </w:tc>
        <w:tc>
          <w:tcPr>
            <w:tcW w:w="992" w:type="dxa"/>
            <w:gridSpan w:val="2"/>
            <w:tcBorders>
              <w:top w:val="nil"/>
              <w:left w:val="nil"/>
              <w:bottom w:val="nil"/>
              <w:right w:val="nil"/>
            </w:tcBorders>
          </w:tcPr>
          <w:p w14:paraId="11B5F53F"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top w:val="single" w:sz="4" w:space="0" w:color="auto"/>
              <w:left w:val="nil"/>
              <w:bottom w:val="nil"/>
              <w:right w:val="nil"/>
            </w:tcBorders>
            <w:noWrap/>
            <w:tcMar>
              <w:top w:w="15" w:type="dxa"/>
              <w:left w:w="15" w:type="dxa"/>
              <w:bottom w:w="0" w:type="dxa"/>
              <w:right w:w="15" w:type="dxa"/>
            </w:tcMar>
            <w:vAlign w:val="bottom"/>
          </w:tcPr>
          <w:p w14:paraId="0C8E1D20"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(477)</w:t>
            </w:r>
          </w:p>
        </w:tc>
        <w:tc>
          <w:tcPr>
            <w:tcW w:w="1104" w:type="dxa"/>
            <w:tcBorders>
              <w:top w:val="single" w:sz="4" w:space="0" w:color="auto"/>
              <w:left w:val="nil"/>
              <w:bottom w:val="nil"/>
              <w:right w:val="nil"/>
            </w:tcBorders>
            <w:noWrap/>
            <w:tcMar>
              <w:top w:w="15" w:type="dxa"/>
              <w:left w:w="15" w:type="dxa"/>
              <w:bottom w:w="0" w:type="dxa"/>
              <w:right w:w="15" w:type="dxa"/>
            </w:tcMar>
            <w:vAlign w:val="bottom"/>
          </w:tcPr>
          <w:p w14:paraId="430000AF"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2,601</w:t>
            </w:r>
          </w:p>
        </w:tc>
      </w:tr>
      <w:tr w:rsidR="00EE0F87" w:rsidRPr="00EE0F87" w14:paraId="187D43E7"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5F01281C"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20"/>
                <w:lang w:eastAsia="en-IE"/>
              </w:rPr>
            </w:pPr>
          </w:p>
        </w:tc>
        <w:tc>
          <w:tcPr>
            <w:tcW w:w="992" w:type="dxa"/>
            <w:gridSpan w:val="2"/>
            <w:tcBorders>
              <w:top w:val="nil"/>
              <w:left w:val="nil"/>
              <w:bottom w:val="nil"/>
              <w:right w:val="nil"/>
            </w:tcBorders>
          </w:tcPr>
          <w:p w14:paraId="4A6CB02F"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top w:val="single" w:sz="4" w:space="0" w:color="auto"/>
              <w:left w:val="nil"/>
              <w:bottom w:val="nil"/>
              <w:right w:val="nil"/>
            </w:tcBorders>
            <w:noWrap/>
            <w:tcMar>
              <w:top w:w="15" w:type="dxa"/>
              <w:left w:w="15" w:type="dxa"/>
              <w:bottom w:w="0" w:type="dxa"/>
              <w:right w:w="15" w:type="dxa"/>
            </w:tcMar>
            <w:vAlign w:val="bottom"/>
          </w:tcPr>
          <w:p w14:paraId="46AFD823"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p>
        </w:tc>
        <w:tc>
          <w:tcPr>
            <w:tcW w:w="1104" w:type="dxa"/>
            <w:tcBorders>
              <w:top w:val="single" w:sz="4" w:space="0" w:color="auto"/>
              <w:left w:val="nil"/>
              <w:bottom w:val="nil"/>
              <w:right w:val="nil"/>
            </w:tcBorders>
            <w:noWrap/>
            <w:tcMar>
              <w:top w:w="15" w:type="dxa"/>
              <w:left w:w="15" w:type="dxa"/>
              <w:bottom w:w="0" w:type="dxa"/>
              <w:right w:w="15" w:type="dxa"/>
            </w:tcMar>
            <w:vAlign w:val="bottom"/>
          </w:tcPr>
          <w:p w14:paraId="6303811E"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p>
        </w:tc>
      </w:tr>
      <w:tr w:rsidR="00EE0F87" w:rsidRPr="00EE0F87" w14:paraId="73B2E64B"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18A2ACE4"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bCs/>
                <w:sz w:val="20"/>
                <w:lang w:eastAsia="en-IE"/>
              </w:rPr>
            </w:pPr>
            <w:r w:rsidRPr="00EE0F87">
              <w:rPr>
                <w:rFonts w:ascii="Times New Roman" w:eastAsia="Times New Roman" w:hAnsi="Times New Roman" w:cs="Times New Roman"/>
                <w:b/>
                <w:bCs/>
                <w:sz w:val="20"/>
                <w:lang w:eastAsia="en-IE"/>
              </w:rPr>
              <w:t>Changes in working capital and provisions:</w:t>
            </w:r>
          </w:p>
        </w:tc>
        <w:tc>
          <w:tcPr>
            <w:tcW w:w="992" w:type="dxa"/>
            <w:gridSpan w:val="2"/>
            <w:tcBorders>
              <w:top w:val="nil"/>
              <w:left w:val="nil"/>
              <w:bottom w:val="nil"/>
              <w:right w:val="nil"/>
            </w:tcBorders>
          </w:tcPr>
          <w:p w14:paraId="33CF749B"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38B9269D"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p>
        </w:tc>
        <w:tc>
          <w:tcPr>
            <w:tcW w:w="1104" w:type="dxa"/>
            <w:tcBorders>
              <w:top w:val="nil"/>
              <w:left w:val="nil"/>
              <w:bottom w:val="nil"/>
              <w:right w:val="nil"/>
            </w:tcBorders>
            <w:noWrap/>
            <w:tcMar>
              <w:top w:w="15" w:type="dxa"/>
              <w:left w:w="15" w:type="dxa"/>
              <w:bottom w:w="0" w:type="dxa"/>
              <w:right w:w="15" w:type="dxa"/>
            </w:tcMar>
            <w:vAlign w:val="bottom"/>
          </w:tcPr>
          <w:p w14:paraId="320B39BD"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p>
        </w:tc>
      </w:tr>
      <w:tr w:rsidR="00EE0F87" w:rsidRPr="00EE0F87" w14:paraId="3CBA12EC"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3139B4E5"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bCs/>
                <w:sz w:val="20"/>
                <w:lang w:eastAsia="en-IE"/>
              </w:rPr>
            </w:pPr>
            <w:r w:rsidRPr="00EE0F87">
              <w:rPr>
                <w:rFonts w:ascii="Times New Roman" w:eastAsia="Times New Roman" w:hAnsi="Times New Roman" w:cs="Times New Roman"/>
                <w:sz w:val="20"/>
                <w:lang w:eastAsia="en-IE"/>
              </w:rPr>
              <w:t>(Increase) in inventories</w:t>
            </w:r>
          </w:p>
        </w:tc>
        <w:tc>
          <w:tcPr>
            <w:tcW w:w="992" w:type="dxa"/>
            <w:gridSpan w:val="2"/>
            <w:tcBorders>
              <w:top w:val="nil"/>
              <w:left w:val="nil"/>
              <w:bottom w:val="nil"/>
              <w:right w:val="nil"/>
            </w:tcBorders>
          </w:tcPr>
          <w:p w14:paraId="0DDD9388"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08716FD2"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(218)</w:t>
            </w:r>
          </w:p>
        </w:tc>
        <w:tc>
          <w:tcPr>
            <w:tcW w:w="1104" w:type="dxa"/>
            <w:tcBorders>
              <w:top w:val="nil"/>
              <w:left w:val="nil"/>
              <w:bottom w:val="nil"/>
              <w:right w:val="nil"/>
            </w:tcBorders>
            <w:noWrap/>
            <w:tcMar>
              <w:top w:w="15" w:type="dxa"/>
              <w:left w:w="15" w:type="dxa"/>
              <w:bottom w:w="0" w:type="dxa"/>
              <w:right w:w="15" w:type="dxa"/>
            </w:tcMar>
            <w:vAlign w:val="bottom"/>
          </w:tcPr>
          <w:p w14:paraId="02DB9399"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(39)</w:t>
            </w:r>
          </w:p>
        </w:tc>
      </w:tr>
      <w:tr w:rsidR="00EE0F87" w:rsidRPr="00EE0F87" w14:paraId="73228292"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4974C65F"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 xml:space="preserve">(Increase)/ decrease in trade and other receivables </w:t>
            </w:r>
          </w:p>
        </w:tc>
        <w:tc>
          <w:tcPr>
            <w:tcW w:w="992" w:type="dxa"/>
            <w:gridSpan w:val="2"/>
            <w:tcBorders>
              <w:top w:val="nil"/>
              <w:left w:val="nil"/>
              <w:bottom w:val="nil"/>
              <w:right w:val="nil"/>
            </w:tcBorders>
          </w:tcPr>
          <w:p w14:paraId="1FEB04CD"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top w:val="nil"/>
              <w:left w:val="nil"/>
              <w:right w:val="nil"/>
            </w:tcBorders>
            <w:noWrap/>
            <w:tcMar>
              <w:top w:w="15" w:type="dxa"/>
              <w:left w:w="15" w:type="dxa"/>
              <w:bottom w:w="0" w:type="dxa"/>
              <w:right w:w="15" w:type="dxa"/>
            </w:tcMar>
            <w:vAlign w:val="bottom"/>
          </w:tcPr>
          <w:p w14:paraId="16240198"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(3,223)</w:t>
            </w:r>
          </w:p>
        </w:tc>
        <w:tc>
          <w:tcPr>
            <w:tcW w:w="1104" w:type="dxa"/>
            <w:tcBorders>
              <w:top w:val="nil"/>
              <w:left w:val="nil"/>
              <w:right w:val="nil"/>
            </w:tcBorders>
            <w:noWrap/>
            <w:tcMar>
              <w:top w:w="15" w:type="dxa"/>
              <w:left w:w="15" w:type="dxa"/>
              <w:bottom w:w="0" w:type="dxa"/>
              <w:right w:w="15" w:type="dxa"/>
            </w:tcMar>
            <w:vAlign w:val="bottom"/>
          </w:tcPr>
          <w:p w14:paraId="7E5DE4E1"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10</w:t>
            </w:r>
          </w:p>
        </w:tc>
      </w:tr>
      <w:tr w:rsidR="00EE0F87" w:rsidRPr="00EE0F87" w14:paraId="5889E9C1"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0DF81E8B"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Decrease in current assets held for sale</w:t>
            </w:r>
          </w:p>
        </w:tc>
        <w:tc>
          <w:tcPr>
            <w:tcW w:w="992" w:type="dxa"/>
            <w:gridSpan w:val="2"/>
            <w:tcBorders>
              <w:top w:val="nil"/>
              <w:left w:val="nil"/>
              <w:bottom w:val="nil"/>
              <w:right w:val="nil"/>
            </w:tcBorders>
          </w:tcPr>
          <w:p w14:paraId="02B86595"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top w:val="nil"/>
              <w:left w:val="nil"/>
              <w:right w:val="nil"/>
            </w:tcBorders>
            <w:noWrap/>
            <w:tcMar>
              <w:top w:w="15" w:type="dxa"/>
              <w:left w:w="15" w:type="dxa"/>
              <w:bottom w:w="0" w:type="dxa"/>
              <w:right w:w="15" w:type="dxa"/>
            </w:tcMar>
            <w:vAlign w:val="bottom"/>
          </w:tcPr>
          <w:p w14:paraId="771DC99C"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w:t>
            </w:r>
          </w:p>
        </w:tc>
        <w:tc>
          <w:tcPr>
            <w:tcW w:w="1104" w:type="dxa"/>
            <w:tcBorders>
              <w:top w:val="nil"/>
              <w:left w:val="nil"/>
              <w:right w:val="nil"/>
            </w:tcBorders>
            <w:noWrap/>
            <w:tcMar>
              <w:top w:w="15" w:type="dxa"/>
              <w:left w:w="15" w:type="dxa"/>
              <w:bottom w:w="0" w:type="dxa"/>
              <w:right w:w="15" w:type="dxa"/>
            </w:tcMar>
            <w:vAlign w:val="bottom"/>
          </w:tcPr>
          <w:p w14:paraId="4CCC66A0"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381</w:t>
            </w:r>
          </w:p>
        </w:tc>
      </w:tr>
      <w:tr w:rsidR="00EE0F87" w:rsidRPr="00EE0F87" w14:paraId="4D60B904"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3DD984F4"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 xml:space="preserve">(Decrease)/ increase in current liabilities held for sale </w:t>
            </w:r>
          </w:p>
        </w:tc>
        <w:tc>
          <w:tcPr>
            <w:tcW w:w="992" w:type="dxa"/>
            <w:gridSpan w:val="2"/>
            <w:tcBorders>
              <w:top w:val="nil"/>
              <w:left w:val="nil"/>
              <w:bottom w:val="nil"/>
              <w:right w:val="nil"/>
            </w:tcBorders>
          </w:tcPr>
          <w:p w14:paraId="5CCE576F"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top w:val="nil"/>
              <w:left w:val="nil"/>
              <w:right w:val="nil"/>
            </w:tcBorders>
            <w:noWrap/>
            <w:tcMar>
              <w:top w:w="15" w:type="dxa"/>
              <w:left w:w="15" w:type="dxa"/>
              <w:bottom w:w="0" w:type="dxa"/>
              <w:right w:w="15" w:type="dxa"/>
            </w:tcMar>
            <w:vAlign w:val="bottom"/>
          </w:tcPr>
          <w:p w14:paraId="72FD3282"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(1,571)</w:t>
            </w:r>
          </w:p>
        </w:tc>
        <w:tc>
          <w:tcPr>
            <w:tcW w:w="1104" w:type="dxa"/>
            <w:tcBorders>
              <w:top w:val="nil"/>
              <w:left w:val="nil"/>
              <w:right w:val="nil"/>
            </w:tcBorders>
            <w:noWrap/>
            <w:tcMar>
              <w:top w:w="15" w:type="dxa"/>
              <w:left w:w="15" w:type="dxa"/>
              <w:bottom w:w="0" w:type="dxa"/>
              <w:right w:w="15" w:type="dxa"/>
            </w:tcMar>
            <w:vAlign w:val="bottom"/>
          </w:tcPr>
          <w:p w14:paraId="7687A8B9"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1,869</w:t>
            </w:r>
          </w:p>
        </w:tc>
      </w:tr>
      <w:tr w:rsidR="00EE0F87" w:rsidRPr="00EE0F87" w14:paraId="0639B110"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12A6B961"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Increase/ (decrease) in payables</w:t>
            </w:r>
          </w:p>
        </w:tc>
        <w:tc>
          <w:tcPr>
            <w:tcW w:w="992" w:type="dxa"/>
            <w:gridSpan w:val="2"/>
            <w:tcBorders>
              <w:top w:val="nil"/>
              <w:left w:val="nil"/>
              <w:bottom w:val="nil"/>
              <w:right w:val="nil"/>
            </w:tcBorders>
          </w:tcPr>
          <w:p w14:paraId="2122796F"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left w:val="nil"/>
              <w:right w:val="nil"/>
            </w:tcBorders>
            <w:noWrap/>
            <w:tcMar>
              <w:top w:w="15" w:type="dxa"/>
              <w:left w:w="15" w:type="dxa"/>
              <w:bottom w:w="0" w:type="dxa"/>
              <w:right w:w="15" w:type="dxa"/>
            </w:tcMar>
            <w:vAlign w:val="bottom"/>
          </w:tcPr>
          <w:p w14:paraId="42995DD5"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848</w:t>
            </w:r>
          </w:p>
        </w:tc>
        <w:tc>
          <w:tcPr>
            <w:tcW w:w="1104" w:type="dxa"/>
            <w:tcBorders>
              <w:left w:val="nil"/>
              <w:right w:val="nil"/>
            </w:tcBorders>
            <w:noWrap/>
            <w:tcMar>
              <w:top w:w="15" w:type="dxa"/>
              <w:left w:w="15" w:type="dxa"/>
              <w:bottom w:w="0" w:type="dxa"/>
              <w:right w:w="15" w:type="dxa"/>
            </w:tcMar>
            <w:vAlign w:val="bottom"/>
          </w:tcPr>
          <w:p w14:paraId="10B18B4D"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(554)</w:t>
            </w:r>
          </w:p>
        </w:tc>
      </w:tr>
      <w:tr w:rsidR="00EE0F87" w:rsidRPr="00EE0F87" w14:paraId="41EC8F95"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6E4A6D1B"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Taxation paid</w:t>
            </w:r>
          </w:p>
        </w:tc>
        <w:tc>
          <w:tcPr>
            <w:tcW w:w="992" w:type="dxa"/>
            <w:gridSpan w:val="2"/>
            <w:tcBorders>
              <w:top w:val="nil"/>
              <w:left w:val="nil"/>
              <w:bottom w:val="nil"/>
              <w:right w:val="nil"/>
            </w:tcBorders>
          </w:tcPr>
          <w:p w14:paraId="38488AC9"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left w:val="nil"/>
              <w:right w:val="nil"/>
            </w:tcBorders>
            <w:noWrap/>
            <w:tcMar>
              <w:top w:w="15" w:type="dxa"/>
              <w:left w:w="15" w:type="dxa"/>
              <w:bottom w:w="0" w:type="dxa"/>
              <w:right w:w="15" w:type="dxa"/>
            </w:tcMar>
            <w:vAlign w:val="bottom"/>
          </w:tcPr>
          <w:p w14:paraId="5201231A"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(25)</w:t>
            </w:r>
          </w:p>
        </w:tc>
        <w:tc>
          <w:tcPr>
            <w:tcW w:w="1104" w:type="dxa"/>
            <w:tcBorders>
              <w:left w:val="nil"/>
              <w:right w:val="nil"/>
            </w:tcBorders>
            <w:noWrap/>
            <w:tcMar>
              <w:top w:w="15" w:type="dxa"/>
              <w:left w:w="15" w:type="dxa"/>
              <w:bottom w:w="0" w:type="dxa"/>
              <w:right w:w="15" w:type="dxa"/>
            </w:tcMar>
            <w:vAlign w:val="bottom"/>
          </w:tcPr>
          <w:p w14:paraId="10AC6D5F"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(205)</w:t>
            </w:r>
          </w:p>
        </w:tc>
      </w:tr>
      <w:tr w:rsidR="00EE0F87" w:rsidRPr="00EE0F87" w14:paraId="560D92FE"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2B4D1834"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bCs/>
                <w:sz w:val="20"/>
                <w:lang w:eastAsia="en-IE"/>
              </w:rPr>
            </w:pPr>
            <w:r w:rsidRPr="00EE0F87">
              <w:rPr>
                <w:rFonts w:ascii="Times New Roman" w:eastAsia="Times New Roman" w:hAnsi="Times New Roman" w:cs="Times New Roman"/>
                <w:b/>
                <w:bCs/>
                <w:sz w:val="20"/>
                <w:lang w:eastAsia="en-IE"/>
              </w:rPr>
              <w:t>Net cash (used)/ generated from operating activities</w:t>
            </w:r>
          </w:p>
        </w:tc>
        <w:tc>
          <w:tcPr>
            <w:tcW w:w="992" w:type="dxa"/>
            <w:gridSpan w:val="2"/>
            <w:tcBorders>
              <w:top w:val="nil"/>
              <w:left w:val="nil"/>
              <w:bottom w:val="nil"/>
              <w:right w:val="nil"/>
            </w:tcBorders>
          </w:tcPr>
          <w:p w14:paraId="47A64AE6"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51942262"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(4,189)</w:t>
            </w:r>
          </w:p>
        </w:tc>
        <w:tc>
          <w:tcPr>
            <w:tcW w:w="1104"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3AF7F8B9"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1,462</w:t>
            </w:r>
          </w:p>
        </w:tc>
      </w:tr>
      <w:tr w:rsidR="00EE0F87" w:rsidRPr="00EE0F87" w14:paraId="46598AD6"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61CD068B"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20"/>
                <w:lang w:eastAsia="en-IE"/>
              </w:rPr>
            </w:pPr>
          </w:p>
          <w:p w14:paraId="1180EE65"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b/>
                <w:sz w:val="20"/>
                <w:lang w:eastAsia="en-IE"/>
              </w:rPr>
              <w:t>Cash flow from investing activities</w:t>
            </w:r>
          </w:p>
        </w:tc>
        <w:tc>
          <w:tcPr>
            <w:tcW w:w="992" w:type="dxa"/>
            <w:gridSpan w:val="2"/>
            <w:tcBorders>
              <w:top w:val="nil"/>
              <w:left w:val="nil"/>
              <w:bottom w:val="nil"/>
              <w:right w:val="nil"/>
            </w:tcBorders>
          </w:tcPr>
          <w:p w14:paraId="1A4661C0"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top w:val="nil"/>
              <w:left w:val="nil"/>
              <w:bottom w:val="nil"/>
              <w:right w:val="nil"/>
            </w:tcBorders>
            <w:noWrap/>
            <w:tcMar>
              <w:top w:w="15" w:type="dxa"/>
              <w:left w:w="15" w:type="dxa"/>
              <w:bottom w:w="0" w:type="dxa"/>
              <w:right w:w="15" w:type="dxa"/>
            </w:tcMar>
            <w:vAlign w:val="bottom"/>
          </w:tcPr>
          <w:p w14:paraId="1920BA0D"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p>
        </w:tc>
        <w:tc>
          <w:tcPr>
            <w:tcW w:w="1104" w:type="dxa"/>
            <w:tcBorders>
              <w:top w:val="nil"/>
              <w:left w:val="nil"/>
              <w:bottom w:val="nil"/>
              <w:right w:val="nil"/>
            </w:tcBorders>
            <w:noWrap/>
            <w:tcMar>
              <w:top w:w="15" w:type="dxa"/>
              <w:left w:w="15" w:type="dxa"/>
              <w:bottom w:w="0" w:type="dxa"/>
              <w:right w:w="15" w:type="dxa"/>
            </w:tcMar>
            <w:vAlign w:val="bottom"/>
          </w:tcPr>
          <w:p w14:paraId="178E3A26"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p>
        </w:tc>
      </w:tr>
      <w:tr w:rsidR="00EE0F87" w:rsidRPr="00EE0F87" w14:paraId="398A2CE5"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74301512"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Investment in intangible assets</w:t>
            </w:r>
          </w:p>
        </w:tc>
        <w:tc>
          <w:tcPr>
            <w:tcW w:w="992" w:type="dxa"/>
            <w:gridSpan w:val="2"/>
            <w:tcBorders>
              <w:top w:val="nil"/>
              <w:left w:val="nil"/>
              <w:bottom w:val="nil"/>
              <w:right w:val="nil"/>
            </w:tcBorders>
          </w:tcPr>
          <w:p w14:paraId="73A551DE"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top w:val="nil"/>
              <w:left w:val="nil"/>
              <w:right w:val="nil"/>
            </w:tcBorders>
            <w:noWrap/>
            <w:tcMar>
              <w:top w:w="15" w:type="dxa"/>
              <w:left w:w="15" w:type="dxa"/>
              <w:bottom w:w="0" w:type="dxa"/>
              <w:right w:w="15" w:type="dxa"/>
            </w:tcMar>
            <w:vAlign w:val="bottom"/>
          </w:tcPr>
          <w:p w14:paraId="28429514"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w:t>
            </w:r>
          </w:p>
        </w:tc>
        <w:tc>
          <w:tcPr>
            <w:tcW w:w="1104" w:type="dxa"/>
            <w:tcBorders>
              <w:top w:val="nil"/>
              <w:left w:val="nil"/>
              <w:right w:val="nil"/>
            </w:tcBorders>
            <w:noWrap/>
            <w:tcMar>
              <w:top w:w="15" w:type="dxa"/>
              <w:left w:w="15" w:type="dxa"/>
              <w:bottom w:w="0" w:type="dxa"/>
              <w:right w:w="15" w:type="dxa"/>
            </w:tcMar>
            <w:vAlign w:val="bottom"/>
          </w:tcPr>
          <w:p w14:paraId="1D5DFB9B"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(986)</w:t>
            </w:r>
          </w:p>
        </w:tc>
      </w:tr>
      <w:tr w:rsidR="00EE0F87" w:rsidRPr="00EE0F87" w14:paraId="76DF47D7"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04E920E4"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Purchase of property, plant and equipment</w:t>
            </w:r>
          </w:p>
        </w:tc>
        <w:tc>
          <w:tcPr>
            <w:tcW w:w="992" w:type="dxa"/>
            <w:gridSpan w:val="2"/>
            <w:tcBorders>
              <w:top w:val="nil"/>
              <w:left w:val="nil"/>
              <w:bottom w:val="nil"/>
              <w:right w:val="nil"/>
            </w:tcBorders>
          </w:tcPr>
          <w:p w14:paraId="7E9F7A2E"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left w:val="nil"/>
              <w:right w:val="nil"/>
            </w:tcBorders>
            <w:noWrap/>
            <w:tcMar>
              <w:top w:w="15" w:type="dxa"/>
              <w:left w:w="15" w:type="dxa"/>
              <w:bottom w:w="0" w:type="dxa"/>
              <w:right w:w="15" w:type="dxa"/>
            </w:tcMar>
            <w:vAlign w:val="bottom"/>
          </w:tcPr>
          <w:p w14:paraId="471F2F1F"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(62)</w:t>
            </w:r>
          </w:p>
        </w:tc>
        <w:tc>
          <w:tcPr>
            <w:tcW w:w="1104" w:type="dxa"/>
            <w:tcBorders>
              <w:left w:val="nil"/>
              <w:right w:val="nil"/>
            </w:tcBorders>
            <w:noWrap/>
            <w:tcMar>
              <w:top w:w="15" w:type="dxa"/>
              <w:left w:w="15" w:type="dxa"/>
              <w:bottom w:w="0" w:type="dxa"/>
              <w:right w:w="15" w:type="dxa"/>
            </w:tcMar>
            <w:vAlign w:val="bottom"/>
          </w:tcPr>
          <w:p w14:paraId="125F8E35"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(1,840)</w:t>
            </w:r>
          </w:p>
        </w:tc>
      </w:tr>
      <w:tr w:rsidR="00EE0F87" w:rsidRPr="00EE0F87" w14:paraId="2EBB1ED9"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6ED3F2F9"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Proceeds on disposal of subsidiary</w:t>
            </w:r>
          </w:p>
        </w:tc>
        <w:tc>
          <w:tcPr>
            <w:tcW w:w="992" w:type="dxa"/>
            <w:gridSpan w:val="2"/>
            <w:tcBorders>
              <w:top w:val="nil"/>
              <w:left w:val="nil"/>
              <w:bottom w:val="nil"/>
              <w:right w:val="nil"/>
            </w:tcBorders>
          </w:tcPr>
          <w:p w14:paraId="541D1BA3"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left w:val="nil"/>
              <w:right w:val="nil"/>
            </w:tcBorders>
            <w:noWrap/>
            <w:tcMar>
              <w:top w:w="15" w:type="dxa"/>
              <w:left w:w="15" w:type="dxa"/>
              <w:bottom w:w="0" w:type="dxa"/>
              <w:right w:w="15" w:type="dxa"/>
            </w:tcMar>
            <w:vAlign w:val="bottom"/>
          </w:tcPr>
          <w:p w14:paraId="7BBA2CAE"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w:t>
            </w:r>
          </w:p>
        </w:tc>
        <w:tc>
          <w:tcPr>
            <w:tcW w:w="1104" w:type="dxa"/>
            <w:tcBorders>
              <w:left w:val="nil"/>
              <w:right w:val="nil"/>
            </w:tcBorders>
            <w:noWrap/>
            <w:tcMar>
              <w:top w:w="15" w:type="dxa"/>
              <w:left w:w="15" w:type="dxa"/>
              <w:bottom w:w="0" w:type="dxa"/>
              <w:right w:w="15" w:type="dxa"/>
            </w:tcMar>
            <w:vAlign w:val="bottom"/>
          </w:tcPr>
          <w:p w14:paraId="305101B4"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55,160</w:t>
            </w:r>
          </w:p>
        </w:tc>
      </w:tr>
      <w:tr w:rsidR="00EE0F87" w:rsidRPr="00EE0F87" w14:paraId="3E804D55" w14:textId="77777777" w:rsidTr="00897EB6">
        <w:trPr>
          <w:trHeight w:val="255"/>
        </w:trPr>
        <w:tc>
          <w:tcPr>
            <w:tcW w:w="5514" w:type="dxa"/>
            <w:gridSpan w:val="2"/>
            <w:tcBorders>
              <w:top w:val="nil"/>
              <w:left w:val="nil"/>
              <w:bottom w:val="nil"/>
              <w:right w:val="nil"/>
            </w:tcBorders>
            <w:noWrap/>
            <w:tcMar>
              <w:top w:w="15" w:type="dxa"/>
              <w:left w:w="15" w:type="dxa"/>
              <w:bottom w:w="0" w:type="dxa"/>
              <w:right w:w="15" w:type="dxa"/>
            </w:tcMar>
            <w:vAlign w:val="bottom"/>
          </w:tcPr>
          <w:p w14:paraId="5B9B371C" w14:textId="77777777" w:rsidR="00EE0F87" w:rsidRPr="00EE0F87" w:rsidDel="00953E7E"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Costs incurred on disposal of subsidiary</w:t>
            </w:r>
          </w:p>
        </w:tc>
        <w:tc>
          <w:tcPr>
            <w:tcW w:w="865" w:type="dxa"/>
            <w:tcBorders>
              <w:top w:val="nil"/>
              <w:left w:val="nil"/>
              <w:bottom w:val="nil"/>
              <w:right w:val="nil"/>
            </w:tcBorders>
          </w:tcPr>
          <w:p w14:paraId="6C9E0390"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left w:val="nil"/>
              <w:right w:val="nil"/>
            </w:tcBorders>
            <w:noWrap/>
            <w:tcMar>
              <w:top w:w="15" w:type="dxa"/>
              <w:left w:w="15" w:type="dxa"/>
              <w:bottom w:w="0" w:type="dxa"/>
              <w:right w:w="15" w:type="dxa"/>
            </w:tcMar>
            <w:vAlign w:val="bottom"/>
          </w:tcPr>
          <w:p w14:paraId="04FB95B7" w14:textId="77777777" w:rsidR="00EE0F87" w:rsidRPr="00EE0F87" w:rsidDel="00953E7E"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w:t>
            </w:r>
          </w:p>
        </w:tc>
        <w:tc>
          <w:tcPr>
            <w:tcW w:w="1104" w:type="dxa"/>
            <w:tcBorders>
              <w:left w:val="nil"/>
              <w:right w:val="nil"/>
            </w:tcBorders>
            <w:noWrap/>
            <w:tcMar>
              <w:top w:w="15" w:type="dxa"/>
              <w:left w:w="15" w:type="dxa"/>
              <w:bottom w:w="0" w:type="dxa"/>
              <w:right w:w="15" w:type="dxa"/>
            </w:tcMar>
            <w:vAlign w:val="bottom"/>
          </w:tcPr>
          <w:p w14:paraId="42AB3E42"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(3,533)</w:t>
            </w:r>
          </w:p>
        </w:tc>
      </w:tr>
      <w:tr w:rsidR="00EE0F87" w:rsidRPr="00EE0F87" w14:paraId="7FB44A7A" w14:textId="77777777" w:rsidTr="00897EB6">
        <w:trPr>
          <w:trHeight w:val="255"/>
        </w:trPr>
        <w:tc>
          <w:tcPr>
            <w:tcW w:w="5514" w:type="dxa"/>
            <w:gridSpan w:val="2"/>
            <w:tcBorders>
              <w:top w:val="nil"/>
              <w:left w:val="nil"/>
              <w:bottom w:val="nil"/>
              <w:right w:val="nil"/>
            </w:tcBorders>
            <w:noWrap/>
            <w:tcMar>
              <w:top w:w="15" w:type="dxa"/>
              <w:left w:w="15" w:type="dxa"/>
              <w:bottom w:w="0" w:type="dxa"/>
              <w:right w:w="15" w:type="dxa"/>
            </w:tcMar>
            <w:vAlign w:val="bottom"/>
          </w:tcPr>
          <w:p w14:paraId="5B238A2C" w14:textId="77777777" w:rsidR="00EE0F87" w:rsidRPr="00EE0F87" w:rsidDel="00953E7E"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Cash included in subsidiary disposed</w:t>
            </w:r>
          </w:p>
        </w:tc>
        <w:tc>
          <w:tcPr>
            <w:tcW w:w="865" w:type="dxa"/>
            <w:tcBorders>
              <w:top w:val="nil"/>
              <w:left w:val="nil"/>
              <w:bottom w:val="nil"/>
              <w:right w:val="nil"/>
            </w:tcBorders>
          </w:tcPr>
          <w:p w14:paraId="7D78A115"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left w:val="nil"/>
              <w:right w:val="nil"/>
            </w:tcBorders>
            <w:noWrap/>
            <w:tcMar>
              <w:top w:w="15" w:type="dxa"/>
              <w:left w:w="15" w:type="dxa"/>
              <w:bottom w:w="0" w:type="dxa"/>
              <w:right w:w="15" w:type="dxa"/>
            </w:tcMar>
            <w:vAlign w:val="bottom"/>
          </w:tcPr>
          <w:p w14:paraId="17C8A070" w14:textId="77777777" w:rsidR="00EE0F87" w:rsidRPr="00EE0F87" w:rsidDel="00953E7E"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w:t>
            </w:r>
          </w:p>
        </w:tc>
        <w:tc>
          <w:tcPr>
            <w:tcW w:w="1104" w:type="dxa"/>
            <w:tcBorders>
              <w:left w:val="nil"/>
              <w:right w:val="nil"/>
            </w:tcBorders>
            <w:noWrap/>
            <w:tcMar>
              <w:top w:w="15" w:type="dxa"/>
              <w:left w:w="15" w:type="dxa"/>
              <w:bottom w:w="0" w:type="dxa"/>
              <w:right w:w="15" w:type="dxa"/>
            </w:tcMar>
            <w:vAlign w:val="bottom"/>
          </w:tcPr>
          <w:p w14:paraId="06BF9B45"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(72)</w:t>
            </w:r>
          </w:p>
        </w:tc>
      </w:tr>
      <w:tr w:rsidR="00EE0F87" w:rsidRPr="00EE0F87" w14:paraId="5B90B6C5"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429A352A"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Sale of biological assets</w:t>
            </w:r>
          </w:p>
        </w:tc>
        <w:tc>
          <w:tcPr>
            <w:tcW w:w="992" w:type="dxa"/>
            <w:gridSpan w:val="2"/>
            <w:tcBorders>
              <w:top w:val="nil"/>
              <w:left w:val="nil"/>
              <w:bottom w:val="nil"/>
              <w:right w:val="nil"/>
            </w:tcBorders>
          </w:tcPr>
          <w:p w14:paraId="30F65610"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left w:val="nil"/>
              <w:right w:val="nil"/>
            </w:tcBorders>
            <w:noWrap/>
            <w:tcMar>
              <w:top w:w="15" w:type="dxa"/>
              <w:left w:w="15" w:type="dxa"/>
              <w:bottom w:w="0" w:type="dxa"/>
              <w:right w:w="15" w:type="dxa"/>
            </w:tcMar>
            <w:vAlign w:val="bottom"/>
          </w:tcPr>
          <w:p w14:paraId="75507A6D"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149</w:t>
            </w:r>
          </w:p>
        </w:tc>
        <w:tc>
          <w:tcPr>
            <w:tcW w:w="1104" w:type="dxa"/>
            <w:tcBorders>
              <w:left w:val="nil"/>
              <w:right w:val="nil"/>
            </w:tcBorders>
            <w:noWrap/>
            <w:tcMar>
              <w:top w:w="15" w:type="dxa"/>
              <w:left w:w="15" w:type="dxa"/>
              <w:bottom w:w="0" w:type="dxa"/>
              <w:right w:w="15" w:type="dxa"/>
            </w:tcMar>
            <w:vAlign w:val="bottom"/>
          </w:tcPr>
          <w:p w14:paraId="2B75A6E7"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127</w:t>
            </w:r>
          </w:p>
        </w:tc>
      </w:tr>
      <w:tr w:rsidR="00EE0F87" w:rsidRPr="00EE0F87" w14:paraId="0F953C52"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59C08F03"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Purchase of biological assets</w:t>
            </w:r>
          </w:p>
        </w:tc>
        <w:tc>
          <w:tcPr>
            <w:tcW w:w="992" w:type="dxa"/>
            <w:gridSpan w:val="2"/>
            <w:tcBorders>
              <w:top w:val="nil"/>
              <w:left w:val="nil"/>
              <w:bottom w:val="nil"/>
              <w:right w:val="nil"/>
            </w:tcBorders>
          </w:tcPr>
          <w:p w14:paraId="4B3B5210"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left w:val="nil"/>
              <w:bottom w:val="single" w:sz="4" w:space="0" w:color="auto"/>
              <w:right w:val="nil"/>
            </w:tcBorders>
            <w:noWrap/>
            <w:tcMar>
              <w:top w:w="15" w:type="dxa"/>
              <w:left w:w="15" w:type="dxa"/>
              <w:bottom w:w="0" w:type="dxa"/>
              <w:right w:w="15" w:type="dxa"/>
            </w:tcMar>
            <w:vAlign w:val="bottom"/>
          </w:tcPr>
          <w:p w14:paraId="3DC7FFD6"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w:t>
            </w:r>
          </w:p>
        </w:tc>
        <w:tc>
          <w:tcPr>
            <w:tcW w:w="1104" w:type="dxa"/>
            <w:tcBorders>
              <w:left w:val="nil"/>
              <w:bottom w:val="single" w:sz="4" w:space="0" w:color="auto"/>
              <w:right w:val="nil"/>
            </w:tcBorders>
            <w:noWrap/>
            <w:tcMar>
              <w:top w:w="15" w:type="dxa"/>
              <w:left w:w="15" w:type="dxa"/>
              <w:bottom w:w="0" w:type="dxa"/>
              <w:right w:w="15" w:type="dxa"/>
            </w:tcMar>
            <w:vAlign w:val="bottom"/>
          </w:tcPr>
          <w:p w14:paraId="3CAE8E48"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(9)</w:t>
            </w:r>
          </w:p>
        </w:tc>
      </w:tr>
      <w:tr w:rsidR="00EE0F87" w:rsidRPr="00EE0F87" w14:paraId="4FCE042E"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6B37D94C"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b/>
                <w:bCs/>
                <w:sz w:val="20"/>
                <w:lang w:eastAsia="en-IE"/>
              </w:rPr>
              <w:t>Net cash generated from investing activities</w:t>
            </w:r>
          </w:p>
        </w:tc>
        <w:tc>
          <w:tcPr>
            <w:tcW w:w="992" w:type="dxa"/>
            <w:gridSpan w:val="2"/>
            <w:tcBorders>
              <w:top w:val="nil"/>
              <w:left w:val="nil"/>
              <w:right w:val="nil"/>
            </w:tcBorders>
          </w:tcPr>
          <w:p w14:paraId="58982BB3"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60D14BDD"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87</w:t>
            </w:r>
          </w:p>
        </w:tc>
        <w:tc>
          <w:tcPr>
            <w:tcW w:w="1104"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58585552"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48,847</w:t>
            </w:r>
          </w:p>
        </w:tc>
      </w:tr>
      <w:tr w:rsidR="00EE0F87" w:rsidRPr="00EE0F87" w14:paraId="5AC9CF71"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2D8326F0"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20"/>
                <w:lang w:eastAsia="en-IE"/>
              </w:rPr>
            </w:pPr>
          </w:p>
          <w:p w14:paraId="1B7990F1"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Cash flows from financing activities</w:t>
            </w:r>
          </w:p>
          <w:p w14:paraId="21BA3988"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bCs/>
                <w:sz w:val="20"/>
                <w:lang w:eastAsia="en-IE"/>
              </w:rPr>
            </w:pPr>
            <w:r w:rsidRPr="00EE0F87">
              <w:rPr>
                <w:rFonts w:ascii="Times New Roman" w:eastAsia="Times New Roman" w:hAnsi="Times New Roman" w:cs="Times New Roman"/>
                <w:sz w:val="20"/>
                <w:lang w:eastAsia="en-IE"/>
              </w:rPr>
              <w:t>Dividends paid to shareholders</w:t>
            </w:r>
          </w:p>
        </w:tc>
        <w:tc>
          <w:tcPr>
            <w:tcW w:w="992" w:type="dxa"/>
            <w:gridSpan w:val="2"/>
            <w:tcBorders>
              <w:left w:val="nil"/>
              <w:right w:val="nil"/>
            </w:tcBorders>
          </w:tcPr>
          <w:p w14:paraId="003DD0EE"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lang w:eastAsia="en-IE"/>
              </w:rPr>
            </w:pPr>
          </w:p>
          <w:p w14:paraId="5E84E89D"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lang w:eastAsia="en-IE"/>
              </w:rPr>
            </w:pPr>
          </w:p>
          <w:p w14:paraId="2BDCCB0B"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lang w:eastAsia="en-IE"/>
              </w:rPr>
            </w:pPr>
          </w:p>
        </w:tc>
        <w:tc>
          <w:tcPr>
            <w:tcW w:w="1007" w:type="dxa"/>
            <w:tcBorders>
              <w:left w:val="nil"/>
              <w:right w:val="nil"/>
            </w:tcBorders>
            <w:noWrap/>
            <w:tcMar>
              <w:top w:w="15" w:type="dxa"/>
              <w:left w:w="15" w:type="dxa"/>
              <w:bottom w:w="0" w:type="dxa"/>
              <w:right w:w="15" w:type="dxa"/>
            </w:tcMar>
            <w:vAlign w:val="bottom"/>
          </w:tcPr>
          <w:p w14:paraId="50663E76"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w:t>
            </w:r>
          </w:p>
        </w:tc>
        <w:tc>
          <w:tcPr>
            <w:tcW w:w="1104" w:type="dxa"/>
            <w:tcBorders>
              <w:left w:val="nil"/>
              <w:right w:val="nil"/>
            </w:tcBorders>
            <w:noWrap/>
            <w:tcMar>
              <w:top w:w="15" w:type="dxa"/>
              <w:left w:w="15" w:type="dxa"/>
              <w:bottom w:w="0" w:type="dxa"/>
              <w:right w:w="15" w:type="dxa"/>
            </w:tcMar>
            <w:vAlign w:val="bottom"/>
          </w:tcPr>
          <w:p w14:paraId="7D770A0F"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(510)</w:t>
            </w:r>
          </w:p>
        </w:tc>
      </w:tr>
      <w:tr w:rsidR="00EE0F87" w:rsidRPr="00EE0F87" w14:paraId="3968FE59"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0B2814C5"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r w:rsidRPr="00EE0F87">
              <w:rPr>
                <w:rFonts w:ascii="Times New Roman" w:eastAsia="Times New Roman" w:hAnsi="Times New Roman" w:cs="Times New Roman"/>
                <w:bCs/>
                <w:sz w:val="20"/>
                <w:lang w:eastAsia="en-IE"/>
              </w:rPr>
              <w:t>Invoice finance utilised</w:t>
            </w:r>
          </w:p>
        </w:tc>
        <w:tc>
          <w:tcPr>
            <w:tcW w:w="992" w:type="dxa"/>
            <w:gridSpan w:val="2"/>
            <w:tcBorders>
              <w:left w:val="nil"/>
              <w:right w:val="nil"/>
            </w:tcBorders>
          </w:tcPr>
          <w:p w14:paraId="1BB18091"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left w:val="nil"/>
              <w:right w:val="nil"/>
            </w:tcBorders>
            <w:noWrap/>
            <w:tcMar>
              <w:top w:w="15" w:type="dxa"/>
              <w:left w:w="15" w:type="dxa"/>
              <w:bottom w:w="0" w:type="dxa"/>
              <w:right w:w="15" w:type="dxa"/>
            </w:tcMar>
            <w:vAlign w:val="bottom"/>
          </w:tcPr>
          <w:p w14:paraId="039DFA98"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1,649</w:t>
            </w:r>
          </w:p>
        </w:tc>
        <w:tc>
          <w:tcPr>
            <w:tcW w:w="1104" w:type="dxa"/>
            <w:tcBorders>
              <w:left w:val="nil"/>
              <w:right w:val="nil"/>
            </w:tcBorders>
            <w:noWrap/>
            <w:tcMar>
              <w:top w:w="15" w:type="dxa"/>
              <w:left w:w="15" w:type="dxa"/>
              <w:bottom w:w="0" w:type="dxa"/>
              <w:right w:w="15" w:type="dxa"/>
            </w:tcMar>
            <w:vAlign w:val="bottom"/>
          </w:tcPr>
          <w:p w14:paraId="5EA34A5F"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1,016</w:t>
            </w:r>
          </w:p>
        </w:tc>
      </w:tr>
      <w:tr w:rsidR="00EE0F87" w:rsidRPr="00EE0F87" w14:paraId="610CE0D7"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0BF25C06"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r w:rsidRPr="00EE0F87">
              <w:rPr>
                <w:rFonts w:ascii="Times New Roman" w:eastAsia="Times New Roman" w:hAnsi="Times New Roman" w:cs="Times New Roman"/>
                <w:bCs/>
                <w:sz w:val="20"/>
                <w:lang w:eastAsia="en-IE"/>
              </w:rPr>
              <w:t>Finance lease capital repayments</w:t>
            </w:r>
          </w:p>
        </w:tc>
        <w:tc>
          <w:tcPr>
            <w:tcW w:w="992" w:type="dxa"/>
            <w:gridSpan w:val="2"/>
            <w:tcBorders>
              <w:left w:val="nil"/>
              <w:right w:val="nil"/>
            </w:tcBorders>
          </w:tcPr>
          <w:p w14:paraId="6BC114CA"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left w:val="nil"/>
              <w:right w:val="nil"/>
            </w:tcBorders>
            <w:noWrap/>
            <w:tcMar>
              <w:top w:w="15" w:type="dxa"/>
              <w:left w:w="15" w:type="dxa"/>
              <w:bottom w:w="0" w:type="dxa"/>
              <w:right w:w="15" w:type="dxa"/>
            </w:tcMar>
            <w:vAlign w:val="bottom"/>
          </w:tcPr>
          <w:p w14:paraId="69477594"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(91)</w:t>
            </w:r>
          </w:p>
        </w:tc>
        <w:tc>
          <w:tcPr>
            <w:tcW w:w="1104" w:type="dxa"/>
            <w:tcBorders>
              <w:left w:val="nil"/>
              <w:right w:val="nil"/>
            </w:tcBorders>
            <w:noWrap/>
            <w:tcMar>
              <w:top w:w="15" w:type="dxa"/>
              <w:left w:w="15" w:type="dxa"/>
              <w:bottom w:w="0" w:type="dxa"/>
              <w:right w:w="15" w:type="dxa"/>
            </w:tcMar>
            <w:vAlign w:val="bottom"/>
          </w:tcPr>
          <w:p w14:paraId="757693B1"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(1,390)</w:t>
            </w:r>
          </w:p>
        </w:tc>
      </w:tr>
      <w:tr w:rsidR="00EE0F87" w:rsidRPr="00EE0F87" w14:paraId="252C235E"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461A758A"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JSOP capital redemption</w:t>
            </w:r>
          </w:p>
        </w:tc>
        <w:tc>
          <w:tcPr>
            <w:tcW w:w="992" w:type="dxa"/>
            <w:gridSpan w:val="2"/>
            <w:tcBorders>
              <w:top w:val="nil"/>
              <w:left w:val="nil"/>
              <w:bottom w:val="nil"/>
              <w:right w:val="nil"/>
            </w:tcBorders>
          </w:tcPr>
          <w:p w14:paraId="001C1C62"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left w:val="nil"/>
              <w:right w:val="nil"/>
            </w:tcBorders>
            <w:noWrap/>
            <w:tcMar>
              <w:top w:w="15" w:type="dxa"/>
              <w:left w:w="15" w:type="dxa"/>
              <w:bottom w:w="0" w:type="dxa"/>
              <w:right w:w="15" w:type="dxa"/>
            </w:tcMar>
            <w:vAlign w:val="bottom"/>
          </w:tcPr>
          <w:p w14:paraId="517988A2"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w:t>
            </w:r>
          </w:p>
        </w:tc>
        <w:tc>
          <w:tcPr>
            <w:tcW w:w="1104" w:type="dxa"/>
            <w:tcBorders>
              <w:left w:val="nil"/>
              <w:right w:val="nil"/>
            </w:tcBorders>
            <w:noWrap/>
            <w:tcMar>
              <w:top w:w="15" w:type="dxa"/>
              <w:left w:w="15" w:type="dxa"/>
              <w:bottom w:w="0" w:type="dxa"/>
              <w:right w:w="15" w:type="dxa"/>
            </w:tcMar>
            <w:vAlign w:val="bottom"/>
          </w:tcPr>
          <w:p w14:paraId="3E7B8F10"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642</w:t>
            </w:r>
          </w:p>
        </w:tc>
      </w:tr>
      <w:tr w:rsidR="00EE0F87" w:rsidRPr="00EE0F87" w14:paraId="5F7E2CB2"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29559CB9"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r w:rsidRPr="00EE0F87">
              <w:rPr>
                <w:rFonts w:ascii="Times New Roman" w:eastAsia="Times New Roman" w:hAnsi="Times New Roman" w:cs="Times New Roman"/>
                <w:bCs/>
                <w:sz w:val="20"/>
                <w:lang w:eastAsia="en-IE"/>
              </w:rPr>
              <w:t>Share Capital Redemption</w:t>
            </w:r>
          </w:p>
        </w:tc>
        <w:tc>
          <w:tcPr>
            <w:tcW w:w="992" w:type="dxa"/>
            <w:gridSpan w:val="2"/>
            <w:tcBorders>
              <w:left w:val="nil"/>
              <w:right w:val="nil"/>
            </w:tcBorders>
          </w:tcPr>
          <w:p w14:paraId="546A3B4C"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left w:val="nil"/>
              <w:right w:val="nil"/>
            </w:tcBorders>
            <w:noWrap/>
            <w:tcMar>
              <w:top w:w="15" w:type="dxa"/>
              <w:left w:w="15" w:type="dxa"/>
              <w:bottom w:w="0" w:type="dxa"/>
              <w:right w:w="15" w:type="dxa"/>
            </w:tcMar>
            <w:vAlign w:val="bottom"/>
          </w:tcPr>
          <w:p w14:paraId="0A71C780"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w:t>
            </w:r>
          </w:p>
        </w:tc>
        <w:tc>
          <w:tcPr>
            <w:tcW w:w="1104" w:type="dxa"/>
            <w:tcBorders>
              <w:left w:val="nil"/>
              <w:right w:val="nil"/>
            </w:tcBorders>
            <w:noWrap/>
            <w:tcMar>
              <w:top w:w="15" w:type="dxa"/>
              <w:left w:w="15" w:type="dxa"/>
              <w:bottom w:w="0" w:type="dxa"/>
              <w:right w:w="15" w:type="dxa"/>
            </w:tcMar>
            <w:vAlign w:val="bottom"/>
          </w:tcPr>
          <w:p w14:paraId="49FF3AC3"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(49,917)</w:t>
            </w:r>
          </w:p>
        </w:tc>
      </w:tr>
      <w:tr w:rsidR="00EE0F87" w:rsidRPr="00EE0F87" w14:paraId="4715A914"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06858B0C"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r w:rsidRPr="00EE0F87">
              <w:rPr>
                <w:rFonts w:ascii="Times New Roman" w:eastAsia="Times New Roman" w:hAnsi="Times New Roman" w:cs="Times New Roman"/>
                <w:bCs/>
                <w:sz w:val="20"/>
                <w:lang w:eastAsia="en-IE"/>
              </w:rPr>
              <w:t xml:space="preserve">Finance Lease advance </w:t>
            </w:r>
          </w:p>
        </w:tc>
        <w:tc>
          <w:tcPr>
            <w:tcW w:w="992" w:type="dxa"/>
            <w:gridSpan w:val="2"/>
            <w:tcBorders>
              <w:left w:val="nil"/>
              <w:right w:val="nil"/>
            </w:tcBorders>
          </w:tcPr>
          <w:p w14:paraId="4C3411CB"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left w:val="nil"/>
              <w:right w:val="nil"/>
            </w:tcBorders>
            <w:noWrap/>
            <w:tcMar>
              <w:top w:w="15" w:type="dxa"/>
              <w:left w:w="15" w:type="dxa"/>
              <w:bottom w:w="0" w:type="dxa"/>
              <w:right w:w="15" w:type="dxa"/>
            </w:tcMar>
            <w:vAlign w:val="bottom"/>
          </w:tcPr>
          <w:p w14:paraId="049B68B3"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w:t>
            </w:r>
          </w:p>
        </w:tc>
        <w:tc>
          <w:tcPr>
            <w:tcW w:w="1104" w:type="dxa"/>
            <w:tcBorders>
              <w:left w:val="nil"/>
              <w:right w:val="nil"/>
            </w:tcBorders>
            <w:noWrap/>
            <w:tcMar>
              <w:top w:w="15" w:type="dxa"/>
              <w:left w:w="15" w:type="dxa"/>
              <w:bottom w:w="0" w:type="dxa"/>
              <w:right w:w="15" w:type="dxa"/>
            </w:tcMar>
            <w:vAlign w:val="bottom"/>
          </w:tcPr>
          <w:p w14:paraId="590C473C" w14:textId="77777777" w:rsidR="00EE0F87" w:rsidRPr="00EE0F87" w:rsidRDefault="00EE0F87" w:rsidP="00EE0F8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 xml:space="preserve">             616</w:t>
            </w:r>
          </w:p>
        </w:tc>
      </w:tr>
      <w:tr w:rsidR="00EE0F87" w:rsidRPr="00EE0F87" w14:paraId="4FF7B3EF"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25044DC4"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r w:rsidRPr="00EE0F87">
              <w:rPr>
                <w:rFonts w:ascii="Times New Roman" w:eastAsia="Times New Roman" w:hAnsi="Times New Roman" w:cs="Times New Roman"/>
                <w:bCs/>
                <w:sz w:val="20"/>
                <w:lang w:eastAsia="en-IE"/>
              </w:rPr>
              <w:t>Term loan repayments</w:t>
            </w:r>
          </w:p>
        </w:tc>
        <w:tc>
          <w:tcPr>
            <w:tcW w:w="992" w:type="dxa"/>
            <w:gridSpan w:val="2"/>
            <w:tcBorders>
              <w:left w:val="nil"/>
              <w:right w:val="nil"/>
            </w:tcBorders>
          </w:tcPr>
          <w:p w14:paraId="31282874"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left w:val="nil"/>
              <w:bottom w:val="single" w:sz="4" w:space="0" w:color="auto"/>
              <w:right w:val="nil"/>
            </w:tcBorders>
            <w:noWrap/>
            <w:tcMar>
              <w:top w:w="15" w:type="dxa"/>
              <w:left w:w="15" w:type="dxa"/>
              <w:bottom w:w="0" w:type="dxa"/>
              <w:right w:w="15" w:type="dxa"/>
            </w:tcMar>
            <w:vAlign w:val="bottom"/>
          </w:tcPr>
          <w:p w14:paraId="6CA4B238"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(31)</w:t>
            </w:r>
          </w:p>
        </w:tc>
        <w:tc>
          <w:tcPr>
            <w:tcW w:w="1104" w:type="dxa"/>
            <w:tcBorders>
              <w:left w:val="nil"/>
              <w:bottom w:val="single" w:sz="4" w:space="0" w:color="auto"/>
              <w:right w:val="nil"/>
            </w:tcBorders>
            <w:noWrap/>
            <w:tcMar>
              <w:top w:w="15" w:type="dxa"/>
              <w:left w:w="15" w:type="dxa"/>
              <w:bottom w:w="0" w:type="dxa"/>
              <w:right w:w="15" w:type="dxa"/>
            </w:tcMar>
            <w:vAlign w:val="bottom"/>
          </w:tcPr>
          <w:p w14:paraId="05560482"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(374)</w:t>
            </w:r>
          </w:p>
        </w:tc>
      </w:tr>
      <w:tr w:rsidR="00EE0F87" w:rsidRPr="00EE0F87" w14:paraId="059B2BE4"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6CBEC751"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r w:rsidRPr="00EE0F87">
              <w:rPr>
                <w:rFonts w:ascii="Times New Roman" w:eastAsia="Times New Roman" w:hAnsi="Times New Roman" w:cs="Times New Roman"/>
                <w:b/>
                <w:bCs/>
                <w:sz w:val="20"/>
                <w:lang w:eastAsia="en-IE"/>
              </w:rPr>
              <w:t>Net cash generated/ (used) from financing activities</w:t>
            </w:r>
          </w:p>
        </w:tc>
        <w:tc>
          <w:tcPr>
            <w:tcW w:w="992" w:type="dxa"/>
            <w:gridSpan w:val="2"/>
            <w:tcBorders>
              <w:top w:val="nil"/>
              <w:left w:val="nil"/>
              <w:bottom w:val="nil"/>
              <w:right w:val="nil"/>
            </w:tcBorders>
          </w:tcPr>
          <w:p w14:paraId="6DF1530D"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5E0C17D3"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1,527</w:t>
            </w:r>
          </w:p>
        </w:tc>
        <w:tc>
          <w:tcPr>
            <w:tcW w:w="1104"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10FAEE78"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(49,917)</w:t>
            </w:r>
          </w:p>
        </w:tc>
      </w:tr>
      <w:tr w:rsidR="00EE0F87" w:rsidRPr="00EE0F87" w14:paraId="7DCF2706"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2CEF8972"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bCs/>
                <w:sz w:val="20"/>
                <w:lang w:eastAsia="en-IE"/>
              </w:rPr>
            </w:pPr>
          </w:p>
        </w:tc>
        <w:tc>
          <w:tcPr>
            <w:tcW w:w="992" w:type="dxa"/>
            <w:gridSpan w:val="2"/>
            <w:tcBorders>
              <w:left w:val="nil"/>
              <w:right w:val="nil"/>
            </w:tcBorders>
          </w:tcPr>
          <w:p w14:paraId="7C78960E"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39218767"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sz w:val="20"/>
                <w:lang w:eastAsia="en-IE"/>
              </w:rPr>
            </w:pPr>
          </w:p>
        </w:tc>
        <w:tc>
          <w:tcPr>
            <w:tcW w:w="1104"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56545F0C"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p>
        </w:tc>
      </w:tr>
      <w:tr w:rsidR="00EE0F87" w:rsidRPr="00EE0F87" w14:paraId="3BC74923"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0F18FEF4"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
                <w:bCs/>
                <w:sz w:val="20"/>
                <w:lang w:eastAsia="en-IE"/>
              </w:rPr>
            </w:pPr>
            <w:r w:rsidRPr="00EE0F87">
              <w:rPr>
                <w:rFonts w:ascii="Times New Roman" w:eastAsia="Times New Roman" w:hAnsi="Times New Roman" w:cs="Times New Roman"/>
                <w:b/>
                <w:bCs/>
                <w:sz w:val="20"/>
                <w:lang w:eastAsia="en-IE"/>
              </w:rPr>
              <w:t xml:space="preserve">Net (decrease)/ increase in cash and cash equivalents </w:t>
            </w:r>
          </w:p>
        </w:tc>
        <w:tc>
          <w:tcPr>
            <w:tcW w:w="992" w:type="dxa"/>
            <w:gridSpan w:val="2"/>
            <w:tcBorders>
              <w:left w:val="nil"/>
              <w:right w:val="nil"/>
            </w:tcBorders>
          </w:tcPr>
          <w:p w14:paraId="4CF98E29"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1CCFAB97"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(3,052)</w:t>
            </w:r>
          </w:p>
        </w:tc>
        <w:tc>
          <w:tcPr>
            <w:tcW w:w="1104"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65F67A86"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2,993</w:t>
            </w:r>
          </w:p>
        </w:tc>
      </w:tr>
      <w:tr w:rsidR="00EE0F87" w:rsidRPr="00EE0F87" w14:paraId="321FB6FF"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674D911D"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lang w:eastAsia="en-IE"/>
              </w:rPr>
            </w:pPr>
          </w:p>
          <w:p w14:paraId="25C4F7BA"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 xml:space="preserve">Cash and cash equivalents beginning of the financial year </w:t>
            </w:r>
          </w:p>
        </w:tc>
        <w:tc>
          <w:tcPr>
            <w:tcW w:w="992" w:type="dxa"/>
            <w:gridSpan w:val="2"/>
            <w:tcBorders>
              <w:left w:val="nil"/>
              <w:right w:val="nil"/>
            </w:tcBorders>
          </w:tcPr>
          <w:p w14:paraId="10606D85"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bCs/>
                <w:sz w:val="20"/>
                <w:lang w:eastAsia="en-IE"/>
              </w:rPr>
            </w:pPr>
          </w:p>
        </w:tc>
        <w:tc>
          <w:tcPr>
            <w:tcW w:w="1007" w:type="dxa"/>
            <w:tcBorders>
              <w:left w:val="nil"/>
              <w:right w:val="nil"/>
            </w:tcBorders>
            <w:noWrap/>
            <w:tcMar>
              <w:top w:w="15" w:type="dxa"/>
              <w:left w:w="15" w:type="dxa"/>
              <w:bottom w:w="0" w:type="dxa"/>
              <w:right w:w="15" w:type="dxa"/>
            </w:tcMar>
            <w:vAlign w:val="bottom"/>
          </w:tcPr>
          <w:p w14:paraId="5E563DB6"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4,543</w:t>
            </w:r>
          </w:p>
        </w:tc>
        <w:tc>
          <w:tcPr>
            <w:tcW w:w="1104" w:type="dxa"/>
            <w:tcBorders>
              <w:left w:val="nil"/>
              <w:right w:val="nil"/>
            </w:tcBorders>
            <w:noWrap/>
            <w:tcMar>
              <w:top w:w="15" w:type="dxa"/>
              <w:left w:w="15" w:type="dxa"/>
              <w:bottom w:w="0" w:type="dxa"/>
              <w:right w:w="15" w:type="dxa"/>
            </w:tcMar>
            <w:vAlign w:val="bottom"/>
          </w:tcPr>
          <w:p w14:paraId="2D8A6A60"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1,550</w:t>
            </w:r>
          </w:p>
        </w:tc>
      </w:tr>
      <w:tr w:rsidR="00EE0F87" w:rsidRPr="00EE0F87" w14:paraId="0B0AFD10" w14:textId="77777777" w:rsidTr="00897EB6">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05BC317A"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Cash and cash equivalents end of the financial year</w:t>
            </w:r>
          </w:p>
        </w:tc>
        <w:tc>
          <w:tcPr>
            <w:tcW w:w="992" w:type="dxa"/>
            <w:gridSpan w:val="2"/>
            <w:tcBorders>
              <w:left w:val="nil"/>
              <w:right w:val="nil"/>
            </w:tcBorders>
          </w:tcPr>
          <w:p w14:paraId="1FC2CAD2" w14:textId="77777777" w:rsidR="00EE0F87" w:rsidRPr="00EE0F87" w:rsidRDefault="00EE0F87" w:rsidP="00EE0F87">
            <w:pPr>
              <w:overflowPunct w:val="0"/>
              <w:autoSpaceDE w:val="0"/>
              <w:autoSpaceDN w:val="0"/>
              <w:adjustRightInd w:val="0"/>
              <w:spacing w:after="0" w:line="240" w:lineRule="auto"/>
              <w:textAlignment w:val="baseline"/>
              <w:rPr>
                <w:rFonts w:ascii="Times New Roman" w:eastAsia="Times New Roman" w:hAnsi="Times New Roman" w:cs="Times New Roman"/>
                <w:sz w:val="20"/>
                <w:lang w:eastAsia="en-IE"/>
              </w:rPr>
            </w:pPr>
          </w:p>
        </w:tc>
        <w:tc>
          <w:tcPr>
            <w:tcW w:w="1007"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0EEBA84B"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lang w:eastAsia="en-IE"/>
              </w:rPr>
            </w:pPr>
            <w:r w:rsidRPr="00EE0F87">
              <w:rPr>
                <w:rFonts w:ascii="Times New Roman" w:eastAsia="Times New Roman" w:hAnsi="Times New Roman" w:cs="Times New Roman"/>
                <w:b/>
                <w:sz w:val="20"/>
                <w:lang w:eastAsia="en-IE"/>
              </w:rPr>
              <w:t>1,491</w:t>
            </w:r>
          </w:p>
        </w:tc>
        <w:tc>
          <w:tcPr>
            <w:tcW w:w="1104"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01A3FC19" w14:textId="77777777" w:rsidR="00EE0F87" w:rsidRPr="00EE0F87" w:rsidRDefault="00EE0F87" w:rsidP="00EE0F8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lang w:eastAsia="en-IE"/>
              </w:rPr>
            </w:pPr>
            <w:r w:rsidRPr="00EE0F87">
              <w:rPr>
                <w:rFonts w:ascii="Times New Roman" w:eastAsia="Times New Roman" w:hAnsi="Times New Roman" w:cs="Times New Roman"/>
                <w:sz w:val="20"/>
                <w:lang w:eastAsia="en-IE"/>
              </w:rPr>
              <w:t>4,543</w:t>
            </w:r>
          </w:p>
        </w:tc>
      </w:tr>
      <w:bookmarkEnd w:id="1"/>
      <w:bookmarkEnd w:id="2"/>
    </w:tbl>
    <w:p w14:paraId="4AD86302" w14:textId="77777777" w:rsidR="00874659" w:rsidRDefault="00EE04B2"/>
    <w:sectPr w:rsidR="008746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9BE865E"/>
    <w:lvl w:ilvl="0">
      <w:numFmt w:val="decimal"/>
      <w:lvlText w:val="*"/>
      <w:lvlJc w:val="left"/>
    </w:lvl>
  </w:abstractNum>
  <w:abstractNum w:abstractNumId="1" w15:restartNumberingAfterBreak="0">
    <w:nsid w:val="077B2F22"/>
    <w:multiLevelType w:val="hybridMultilevel"/>
    <w:tmpl w:val="E24656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974681"/>
    <w:multiLevelType w:val="hybridMultilevel"/>
    <w:tmpl w:val="F0CE9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429BD"/>
    <w:multiLevelType w:val="hybridMultilevel"/>
    <w:tmpl w:val="049C41B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5C02439"/>
    <w:multiLevelType w:val="hybridMultilevel"/>
    <w:tmpl w:val="C0D687D2"/>
    <w:lvl w:ilvl="0" w:tplc="16DC641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CE14F8"/>
    <w:multiLevelType w:val="hybridMultilevel"/>
    <w:tmpl w:val="6372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71CAB"/>
    <w:multiLevelType w:val="hybridMultilevel"/>
    <w:tmpl w:val="16BA3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E857E9D"/>
    <w:multiLevelType w:val="hybridMultilevel"/>
    <w:tmpl w:val="C8C23B18"/>
    <w:lvl w:ilvl="0" w:tplc="3B9AFED4">
      <w:start w:val="135"/>
      <w:numFmt w:val="bullet"/>
      <w:lvlText w:val="-"/>
      <w:lvlJc w:val="left"/>
      <w:pPr>
        <w:ind w:left="720" w:hanging="360"/>
      </w:pPr>
      <w:rPr>
        <w:rFonts w:ascii="Times New Roman" w:eastAsia="Times New Roman" w:hAnsi="Times New Roman" w:cs="Times New Roman"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D57E03"/>
    <w:multiLevelType w:val="hybridMultilevel"/>
    <w:tmpl w:val="1B8657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DA0033"/>
    <w:multiLevelType w:val="hybridMultilevel"/>
    <w:tmpl w:val="1DDE5916"/>
    <w:lvl w:ilvl="0" w:tplc="1534F210">
      <w:start w:val="1"/>
      <w:numFmt w:val="lowerLetter"/>
      <w:lvlText w:val="%1."/>
      <w:lvlJc w:val="left"/>
      <w:pPr>
        <w:ind w:left="360" w:hanging="360"/>
      </w:pPr>
      <w:rPr>
        <w:rFonts w:ascii="Garamond" w:hAnsi="Garamond" w:hint="default"/>
        <w:i/>
        <w:color w:val="7030A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89E7E07"/>
    <w:multiLevelType w:val="hybridMultilevel"/>
    <w:tmpl w:val="42B6A69A"/>
    <w:lvl w:ilvl="0" w:tplc="75F6DE5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B7552BB"/>
    <w:multiLevelType w:val="hybridMultilevel"/>
    <w:tmpl w:val="797E6800"/>
    <w:lvl w:ilvl="0" w:tplc="E3AE26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9D0898"/>
    <w:multiLevelType w:val="hybridMultilevel"/>
    <w:tmpl w:val="9E0A8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4E0E48"/>
    <w:multiLevelType w:val="hybridMultilevel"/>
    <w:tmpl w:val="30A23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12015E"/>
    <w:multiLevelType w:val="hybridMultilevel"/>
    <w:tmpl w:val="21F87D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7C5260E"/>
    <w:multiLevelType w:val="hybridMultilevel"/>
    <w:tmpl w:val="F7F414C4"/>
    <w:lvl w:ilvl="0" w:tplc="F6244A5C">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0AA5766"/>
    <w:multiLevelType w:val="hybridMultilevel"/>
    <w:tmpl w:val="6DD4D6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47B4CF8"/>
    <w:multiLevelType w:val="hybridMultilevel"/>
    <w:tmpl w:val="E98E7034"/>
    <w:lvl w:ilvl="0" w:tplc="4B5453D0">
      <w:numFmt w:val="bullet"/>
      <w:lvlText w:val="-"/>
      <w:lvlJc w:val="left"/>
      <w:pPr>
        <w:ind w:left="1080" w:hanging="360"/>
      </w:pPr>
      <w:rPr>
        <w:rFonts w:ascii="Times New Roman" w:eastAsia="Times New Roman"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54C970FA"/>
    <w:multiLevelType w:val="hybridMultilevel"/>
    <w:tmpl w:val="11F06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3D44C7"/>
    <w:multiLevelType w:val="hybridMultilevel"/>
    <w:tmpl w:val="8E20E4A8"/>
    <w:lvl w:ilvl="0" w:tplc="33B404C6">
      <w:start w:val="1"/>
      <w:numFmt w:val="lowerLetter"/>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593051"/>
    <w:multiLevelType w:val="hybridMultilevel"/>
    <w:tmpl w:val="7B4A46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FD41165"/>
    <w:multiLevelType w:val="hybridMultilevel"/>
    <w:tmpl w:val="1DDE5916"/>
    <w:lvl w:ilvl="0" w:tplc="1534F210">
      <w:start w:val="1"/>
      <w:numFmt w:val="lowerLetter"/>
      <w:lvlText w:val="%1."/>
      <w:lvlJc w:val="left"/>
      <w:pPr>
        <w:ind w:left="360" w:hanging="360"/>
      </w:pPr>
      <w:rPr>
        <w:rFonts w:ascii="Garamond" w:hAnsi="Garamond" w:hint="default"/>
        <w:i/>
        <w:color w:val="7030A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2151DC7"/>
    <w:multiLevelType w:val="hybridMultilevel"/>
    <w:tmpl w:val="DF5C53EA"/>
    <w:lvl w:ilvl="0" w:tplc="7E5C2004">
      <w:start w:val="1"/>
      <w:numFmt w:val="bullet"/>
      <w:pStyle w:val="Bullet"/>
      <w:lvlText w:val=""/>
      <w:lvlJc w:val="left"/>
      <w:pPr>
        <w:tabs>
          <w:tab w:val="num" w:pos="360"/>
        </w:tabs>
        <w:ind w:left="360" w:hanging="360"/>
      </w:pPr>
      <w:rPr>
        <w:rFonts w:ascii="Symbol" w:hAnsi="Symbol" w:hint="default"/>
      </w:rPr>
    </w:lvl>
    <w:lvl w:ilvl="1" w:tplc="DAE07E7A">
      <w:start w:val="1"/>
      <w:numFmt w:val="bullet"/>
      <w:lvlText w:val=""/>
      <w:lvlJc w:val="left"/>
      <w:pPr>
        <w:tabs>
          <w:tab w:val="num" w:pos="340"/>
        </w:tabs>
        <w:ind w:left="340" w:hanging="340"/>
      </w:pPr>
      <w:rPr>
        <w:rFonts w:ascii="Symbol" w:hAnsi="Symbol" w:hint="default"/>
        <w:color w:val="auto"/>
        <w:sz w:val="22"/>
      </w:rPr>
    </w:lvl>
    <w:lvl w:ilvl="2" w:tplc="154A2A2A">
      <w:start w:val="1"/>
      <w:numFmt w:val="bullet"/>
      <w:lvlText w:val=""/>
      <w:lvlJc w:val="left"/>
      <w:pPr>
        <w:tabs>
          <w:tab w:val="num" w:pos="340"/>
        </w:tabs>
        <w:ind w:left="340" w:hanging="340"/>
      </w:pPr>
      <w:rPr>
        <w:rFonts w:ascii="Symbol" w:hAnsi="Symbol" w:hint="default"/>
        <w:color w:val="auto"/>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720C2E"/>
    <w:multiLevelType w:val="hybridMultilevel"/>
    <w:tmpl w:val="DC80B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3F6FBB"/>
    <w:multiLevelType w:val="hybridMultilevel"/>
    <w:tmpl w:val="4770EE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93440F5"/>
    <w:multiLevelType w:val="hybridMultilevel"/>
    <w:tmpl w:val="95BCD9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6BC64DD2"/>
    <w:multiLevelType w:val="hybridMultilevel"/>
    <w:tmpl w:val="6476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286C4B"/>
    <w:multiLevelType w:val="hybridMultilevel"/>
    <w:tmpl w:val="DE0ACF06"/>
    <w:lvl w:ilvl="0" w:tplc="31F608C6">
      <w:start w:val="1"/>
      <w:numFmt w:val="low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8" w15:restartNumberingAfterBreak="0">
    <w:nsid w:val="72C70FAC"/>
    <w:multiLevelType w:val="hybridMultilevel"/>
    <w:tmpl w:val="B8E83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CF3061"/>
    <w:multiLevelType w:val="hybridMultilevel"/>
    <w:tmpl w:val="5C742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A256C6"/>
    <w:multiLevelType w:val="hybridMultilevel"/>
    <w:tmpl w:val="7AB609DA"/>
    <w:lvl w:ilvl="0" w:tplc="2B4C45EA">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32949579">
    <w:abstractNumId w:val="2"/>
  </w:num>
  <w:num w:numId="2" w16cid:durableId="920287795">
    <w:abstractNumId w:val="0"/>
    <w:lvlOverride w:ilvl="0">
      <w:lvl w:ilvl="0">
        <w:start w:val="1"/>
        <w:numFmt w:val="bullet"/>
        <w:lvlText w:val=""/>
        <w:legacy w:legacy="1" w:legacySpace="0" w:legacyIndent="340"/>
        <w:lvlJc w:val="left"/>
        <w:pPr>
          <w:ind w:left="340" w:hanging="340"/>
        </w:pPr>
        <w:rPr>
          <w:rFonts w:ascii="Wingdings" w:hAnsi="Wingdings" w:hint="default"/>
          <w:sz w:val="18"/>
        </w:rPr>
      </w:lvl>
    </w:lvlOverride>
  </w:num>
  <w:num w:numId="3" w16cid:durableId="431165409">
    <w:abstractNumId w:val="22"/>
  </w:num>
  <w:num w:numId="4" w16cid:durableId="1866138937">
    <w:abstractNumId w:val="8"/>
  </w:num>
  <w:num w:numId="5" w16cid:durableId="28921882">
    <w:abstractNumId w:val="11"/>
  </w:num>
  <w:num w:numId="6" w16cid:durableId="1310403858">
    <w:abstractNumId w:val="14"/>
  </w:num>
  <w:num w:numId="7" w16cid:durableId="1378159144">
    <w:abstractNumId w:val="1"/>
  </w:num>
  <w:num w:numId="8" w16cid:durableId="1311980389">
    <w:abstractNumId w:val="3"/>
  </w:num>
  <w:num w:numId="9" w16cid:durableId="1679042645">
    <w:abstractNumId w:val="25"/>
  </w:num>
  <w:num w:numId="10" w16cid:durableId="20057421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4670540">
    <w:abstractNumId w:val="18"/>
  </w:num>
  <w:num w:numId="12" w16cid:durableId="75447170">
    <w:abstractNumId w:val="16"/>
  </w:num>
  <w:num w:numId="13" w16cid:durableId="804085211">
    <w:abstractNumId w:val="4"/>
  </w:num>
  <w:num w:numId="14" w16cid:durableId="1931962257">
    <w:abstractNumId w:val="9"/>
  </w:num>
  <w:num w:numId="15" w16cid:durableId="2142116890">
    <w:abstractNumId w:val="20"/>
  </w:num>
  <w:num w:numId="16" w16cid:durableId="1296835700">
    <w:abstractNumId w:val="5"/>
  </w:num>
  <w:num w:numId="17" w16cid:durableId="877164061">
    <w:abstractNumId w:val="26"/>
  </w:num>
  <w:num w:numId="18" w16cid:durableId="5562788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34476403">
    <w:abstractNumId w:val="28"/>
  </w:num>
  <w:num w:numId="20" w16cid:durableId="1402018143">
    <w:abstractNumId w:val="13"/>
  </w:num>
  <w:num w:numId="21" w16cid:durableId="293683813">
    <w:abstractNumId w:val="30"/>
  </w:num>
  <w:num w:numId="22" w16cid:durableId="1298028747">
    <w:abstractNumId w:val="10"/>
  </w:num>
  <w:num w:numId="23" w16cid:durableId="965350194">
    <w:abstractNumId w:val="12"/>
  </w:num>
  <w:num w:numId="24" w16cid:durableId="663166088">
    <w:abstractNumId w:val="23"/>
  </w:num>
  <w:num w:numId="25" w16cid:durableId="1056200319">
    <w:abstractNumId w:val="29"/>
  </w:num>
  <w:num w:numId="26" w16cid:durableId="1689868770">
    <w:abstractNumId w:val="0"/>
    <w:lvlOverride w:ilvl="0">
      <w:lvl w:ilvl="0">
        <w:start w:val="1"/>
        <w:numFmt w:val="bullet"/>
        <w:lvlText w:val=""/>
        <w:legacy w:legacy="1" w:legacySpace="0" w:legacyIndent="340"/>
        <w:lvlJc w:val="left"/>
        <w:pPr>
          <w:ind w:left="340" w:hanging="340"/>
        </w:pPr>
        <w:rPr>
          <w:rFonts w:ascii="Wingdings" w:hAnsi="Wingdings" w:hint="default"/>
          <w:sz w:val="18"/>
        </w:rPr>
      </w:lvl>
    </w:lvlOverride>
  </w:num>
  <w:num w:numId="27" w16cid:durableId="849414601">
    <w:abstractNumId w:val="24"/>
  </w:num>
  <w:num w:numId="28" w16cid:durableId="162207786">
    <w:abstractNumId w:val="6"/>
  </w:num>
  <w:num w:numId="29" w16cid:durableId="851535381">
    <w:abstractNumId w:val="21"/>
  </w:num>
  <w:num w:numId="30" w16cid:durableId="297078693">
    <w:abstractNumId w:val="17"/>
  </w:num>
  <w:num w:numId="31" w16cid:durableId="1588614984">
    <w:abstractNumId w:val="15"/>
  </w:num>
  <w:num w:numId="32" w16cid:durableId="654921609">
    <w:abstractNumId w:val="27"/>
  </w:num>
  <w:num w:numId="33" w16cid:durableId="18742666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F87"/>
    <w:rsid w:val="00091302"/>
    <w:rsid w:val="000B6CAD"/>
    <w:rsid w:val="00BC76AD"/>
    <w:rsid w:val="00EE04B2"/>
    <w:rsid w:val="00EE0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16B55"/>
  <w15:chartTrackingRefBased/>
  <w15:docId w15:val="{E992FA03-45B2-4B09-BA81-A01FE28E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Base"/>
    <w:next w:val="BodyText"/>
    <w:link w:val="Heading1Char"/>
    <w:qFormat/>
    <w:rsid w:val="00EE0F87"/>
    <w:pPr>
      <w:widowControl w:val="0"/>
      <w:pBdr>
        <w:top w:val="single" w:sz="30" w:space="3" w:color="FFFFFF"/>
        <w:left w:val="single" w:sz="6" w:space="3" w:color="FFFFFF"/>
        <w:bottom w:val="single" w:sz="6" w:space="3" w:color="FFFFFF"/>
      </w:pBdr>
      <w:shd w:val="solid" w:color="auto" w:fill="auto"/>
      <w:spacing w:before="0" w:after="240" w:line="240" w:lineRule="atLeast"/>
      <w:ind w:left="120"/>
      <w:outlineLvl w:val="0"/>
    </w:pPr>
    <w:rPr>
      <w:rFonts w:ascii="Arial Black" w:hAnsi="Arial Black"/>
      <w:color w:val="FFFFFF"/>
      <w:spacing w:val="-10"/>
      <w:kern w:val="20"/>
      <w:position w:val="8"/>
      <w:sz w:val="24"/>
      <w:lang w:val="en-US"/>
    </w:rPr>
  </w:style>
  <w:style w:type="paragraph" w:styleId="Heading2">
    <w:name w:val="heading 2"/>
    <w:basedOn w:val="HeadingBase"/>
    <w:next w:val="BodyText"/>
    <w:link w:val="Heading2Char"/>
    <w:qFormat/>
    <w:rsid w:val="00EE0F87"/>
    <w:pPr>
      <w:spacing w:before="0" w:after="240" w:line="240" w:lineRule="atLeast"/>
      <w:ind w:left="0"/>
      <w:outlineLvl w:val="1"/>
    </w:pPr>
    <w:rPr>
      <w:spacing w:val="-15"/>
    </w:rPr>
  </w:style>
  <w:style w:type="paragraph" w:styleId="Heading3">
    <w:name w:val="heading 3"/>
    <w:basedOn w:val="Normal"/>
    <w:next w:val="Normal"/>
    <w:link w:val="Heading3Char"/>
    <w:qFormat/>
    <w:rsid w:val="00EE0F87"/>
    <w:pPr>
      <w:keepNext/>
      <w:widowControl w:val="0"/>
      <w:overflowPunct w:val="0"/>
      <w:autoSpaceDE w:val="0"/>
      <w:autoSpaceDN w:val="0"/>
      <w:adjustRightInd w:val="0"/>
      <w:spacing w:after="0" w:line="240" w:lineRule="auto"/>
      <w:textAlignment w:val="baseline"/>
      <w:outlineLvl w:val="2"/>
    </w:pPr>
    <w:rPr>
      <w:rFonts w:ascii="Times New Roman" w:eastAsia="Times New Roman" w:hAnsi="Times New Roman" w:cs="Times New Roman"/>
      <w:b/>
      <w:sz w:val="20"/>
      <w:szCs w:val="20"/>
      <w:lang w:val="en-US" w:eastAsia="en-IE"/>
    </w:rPr>
  </w:style>
  <w:style w:type="paragraph" w:styleId="Heading4">
    <w:name w:val="heading 4"/>
    <w:basedOn w:val="Normal"/>
    <w:next w:val="Normal"/>
    <w:link w:val="Heading4Char"/>
    <w:uiPriority w:val="99"/>
    <w:qFormat/>
    <w:rsid w:val="00EE0F87"/>
    <w:pPr>
      <w:keepNext/>
      <w:overflowPunct w:val="0"/>
      <w:autoSpaceDE w:val="0"/>
      <w:autoSpaceDN w:val="0"/>
      <w:adjustRightInd w:val="0"/>
      <w:spacing w:after="0" w:line="240" w:lineRule="auto"/>
      <w:jc w:val="both"/>
      <w:textAlignment w:val="baseline"/>
      <w:outlineLvl w:val="3"/>
    </w:pPr>
    <w:rPr>
      <w:rFonts w:ascii="Times New Roman" w:eastAsia="Times New Roman" w:hAnsi="Times New Roman" w:cs="Times New Roman"/>
      <w:b/>
      <w:szCs w:val="20"/>
      <w:lang w:eastAsia="en-IE"/>
    </w:rPr>
  </w:style>
  <w:style w:type="paragraph" w:styleId="Heading5">
    <w:name w:val="heading 5"/>
    <w:basedOn w:val="Normal"/>
    <w:next w:val="Normal"/>
    <w:link w:val="Heading5Char"/>
    <w:qFormat/>
    <w:rsid w:val="00EE0F87"/>
    <w:pPr>
      <w:keepNext/>
      <w:overflowPunct w:val="0"/>
      <w:autoSpaceDE w:val="0"/>
      <w:autoSpaceDN w:val="0"/>
      <w:adjustRightInd w:val="0"/>
      <w:spacing w:after="0" w:line="240" w:lineRule="auto"/>
      <w:textAlignment w:val="baseline"/>
      <w:outlineLvl w:val="4"/>
    </w:pPr>
    <w:rPr>
      <w:rFonts w:ascii="Times New Roman" w:eastAsia="Times New Roman" w:hAnsi="Times New Roman" w:cs="Times New Roman"/>
      <w:b/>
      <w:szCs w:val="20"/>
      <w:lang w:eastAsia="en-IE"/>
    </w:rPr>
  </w:style>
  <w:style w:type="paragraph" w:styleId="Heading6">
    <w:name w:val="heading 6"/>
    <w:basedOn w:val="Normal"/>
    <w:next w:val="Normal"/>
    <w:link w:val="Heading6Char"/>
    <w:qFormat/>
    <w:rsid w:val="00EE0F87"/>
    <w:pPr>
      <w:keepNext/>
      <w:tabs>
        <w:tab w:val="right" w:pos="4876"/>
        <w:tab w:val="right" w:pos="6236"/>
        <w:tab w:val="right" w:pos="7660"/>
        <w:tab w:val="right" w:pos="8940"/>
      </w:tabs>
      <w:overflowPunct w:val="0"/>
      <w:autoSpaceDE w:val="0"/>
      <w:autoSpaceDN w:val="0"/>
      <w:adjustRightInd w:val="0"/>
      <w:spacing w:after="0" w:line="240" w:lineRule="auto"/>
      <w:jc w:val="center"/>
      <w:textAlignment w:val="baseline"/>
      <w:outlineLvl w:val="5"/>
    </w:pPr>
    <w:rPr>
      <w:rFonts w:ascii="Times New Roman" w:eastAsia="Times New Roman" w:hAnsi="Times New Roman" w:cs="Times New Roman"/>
      <w:b/>
      <w:szCs w:val="20"/>
      <w:lang w:eastAsia="en-IE"/>
    </w:rPr>
  </w:style>
  <w:style w:type="paragraph" w:styleId="Heading7">
    <w:name w:val="heading 7"/>
    <w:basedOn w:val="Normal"/>
    <w:next w:val="Normal"/>
    <w:link w:val="Heading7Char"/>
    <w:qFormat/>
    <w:rsid w:val="00EE0F87"/>
    <w:pPr>
      <w:keepNext/>
      <w:tabs>
        <w:tab w:val="right" w:pos="4876"/>
        <w:tab w:val="right" w:pos="6236"/>
        <w:tab w:val="right" w:pos="7660"/>
        <w:tab w:val="right" w:pos="8940"/>
      </w:tabs>
      <w:overflowPunct w:val="0"/>
      <w:autoSpaceDE w:val="0"/>
      <w:autoSpaceDN w:val="0"/>
      <w:adjustRightInd w:val="0"/>
      <w:spacing w:after="0" w:line="240" w:lineRule="auto"/>
      <w:jc w:val="right"/>
      <w:textAlignment w:val="baseline"/>
      <w:outlineLvl w:val="6"/>
    </w:pPr>
    <w:rPr>
      <w:rFonts w:ascii="Times New Roman" w:eastAsia="Times New Roman" w:hAnsi="Times New Roman" w:cs="Times New Roman"/>
      <w:b/>
      <w:szCs w:val="20"/>
      <w:lang w:eastAsia="en-IE"/>
    </w:rPr>
  </w:style>
  <w:style w:type="paragraph" w:styleId="Heading8">
    <w:name w:val="heading 8"/>
    <w:basedOn w:val="Normal"/>
    <w:next w:val="Normal"/>
    <w:link w:val="Heading8Char"/>
    <w:qFormat/>
    <w:rsid w:val="00EE0F87"/>
    <w:pPr>
      <w:keepNext/>
      <w:overflowPunct w:val="0"/>
      <w:autoSpaceDE w:val="0"/>
      <w:autoSpaceDN w:val="0"/>
      <w:adjustRightInd w:val="0"/>
      <w:spacing w:after="0" w:line="240" w:lineRule="auto"/>
      <w:textAlignment w:val="baseline"/>
      <w:outlineLvl w:val="7"/>
    </w:pPr>
    <w:rPr>
      <w:rFonts w:ascii="Times New Roman" w:eastAsia="Times New Roman" w:hAnsi="Times New Roman" w:cs="Times New Roman"/>
      <w:b/>
      <w:color w:val="000000"/>
      <w:szCs w:val="20"/>
      <w:lang w:eastAsia="en-IE"/>
    </w:rPr>
  </w:style>
  <w:style w:type="paragraph" w:styleId="Heading9">
    <w:name w:val="heading 9"/>
    <w:basedOn w:val="Normal"/>
    <w:next w:val="Normal"/>
    <w:link w:val="Heading9Char"/>
    <w:qFormat/>
    <w:rsid w:val="00EE0F87"/>
    <w:pPr>
      <w:keepNext/>
      <w:numPr>
        <w:ilvl w:val="12"/>
      </w:numPr>
      <w:overflowPunct w:val="0"/>
      <w:autoSpaceDE w:val="0"/>
      <w:autoSpaceDN w:val="0"/>
      <w:adjustRightInd w:val="0"/>
      <w:spacing w:after="0" w:line="240" w:lineRule="auto"/>
      <w:textAlignment w:val="baseline"/>
      <w:outlineLvl w:val="8"/>
    </w:pPr>
    <w:rPr>
      <w:rFonts w:ascii="Times New Roman" w:eastAsia="Times New Roman" w:hAnsi="Times New Roman" w:cs="Times New Roman"/>
      <w:b/>
      <w:bCs/>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0F87"/>
    <w:rPr>
      <w:rFonts w:ascii="Arial Black" w:eastAsia="Times New Roman" w:hAnsi="Arial Black" w:cs="Times New Roman"/>
      <w:color w:val="FFFFFF"/>
      <w:spacing w:val="-10"/>
      <w:kern w:val="20"/>
      <w:position w:val="8"/>
      <w:sz w:val="24"/>
      <w:szCs w:val="20"/>
      <w:shd w:val="solid" w:color="auto" w:fill="auto"/>
      <w:lang w:val="en-US" w:eastAsia="en-IE"/>
    </w:rPr>
  </w:style>
  <w:style w:type="character" w:customStyle="1" w:styleId="Heading2Char">
    <w:name w:val="Heading 2 Char"/>
    <w:basedOn w:val="DefaultParagraphFont"/>
    <w:link w:val="Heading2"/>
    <w:rsid w:val="00EE0F87"/>
    <w:rPr>
      <w:rFonts w:ascii="Helvetica" w:eastAsia="Times New Roman" w:hAnsi="Helvetica" w:cs="Times New Roman"/>
      <w:spacing w:val="-15"/>
      <w:szCs w:val="20"/>
      <w:lang w:eastAsia="en-IE"/>
    </w:rPr>
  </w:style>
  <w:style w:type="character" w:customStyle="1" w:styleId="Heading3Char">
    <w:name w:val="Heading 3 Char"/>
    <w:basedOn w:val="DefaultParagraphFont"/>
    <w:link w:val="Heading3"/>
    <w:rsid w:val="00EE0F87"/>
    <w:rPr>
      <w:rFonts w:ascii="Times New Roman" w:eastAsia="Times New Roman" w:hAnsi="Times New Roman" w:cs="Times New Roman"/>
      <w:b/>
      <w:sz w:val="20"/>
      <w:szCs w:val="20"/>
      <w:lang w:val="en-US" w:eastAsia="en-IE"/>
    </w:rPr>
  </w:style>
  <w:style w:type="character" w:customStyle="1" w:styleId="Heading4Char">
    <w:name w:val="Heading 4 Char"/>
    <w:basedOn w:val="DefaultParagraphFont"/>
    <w:link w:val="Heading4"/>
    <w:uiPriority w:val="99"/>
    <w:rsid w:val="00EE0F87"/>
    <w:rPr>
      <w:rFonts w:ascii="Times New Roman" w:eastAsia="Times New Roman" w:hAnsi="Times New Roman" w:cs="Times New Roman"/>
      <w:b/>
      <w:szCs w:val="20"/>
      <w:lang w:eastAsia="en-IE"/>
    </w:rPr>
  </w:style>
  <w:style w:type="character" w:customStyle="1" w:styleId="Heading5Char">
    <w:name w:val="Heading 5 Char"/>
    <w:basedOn w:val="DefaultParagraphFont"/>
    <w:link w:val="Heading5"/>
    <w:rsid w:val="00EE0F87"/>
    <w:rPr>
      <w:rFonts w:ascii="Times New Roman" w:eastAsia="Times New Roman" w:hAnsi="Times New Roman" w:cs="Times New Roman"/>
      <w:b/>
      <w:szCs w:val="20"/>
      <w:lang w:eastAsia="en-IE"/>
    </w:rPr>
  </w:style>
  <w:style w:type="character" w:customStyle="1" w:styleId="Heading6Char">
    <w:name w:val="Heading 6 Char"/>
    <w:basedOn w:val="DefaultParagraphFont"/>
    <w:link w:val="Heading6"/>
    <w:rsid w:val="00EE0F87"/>
    <w:rPr>
      <w:rFonts w:ascii="Times New Roman" w:eastAsia="Times New Roman" w:hAnsi="Times New Roman" w:cs="Times New Roman"/>
      <w:b/>
      <w:szCs w:val="20"/>
      <w:lang w:eastAsia="en-IE"/>
    </w:rPr>
  </w:style>
  <w:style w:type="character" w:customStyle="1" w:styleId="Heading7Char">
    <w:name w:val="Heading 7 Char"/>
    <w:basedOn w:val="DefaultParagraphFont"/>
    <w:link w:val="Heading7"/>
    <w:rsid w:val="00EE0F87"/>
    <w:rPr>
      <w:rFonts w:ascii="Times New Roman" w:eastAsia="Times New Roman" w:hAnsi="Times New Roman" w:cs="Times New Roman"/>
      <w:b/>
      <w:szCs w:val="20"/>
      <w:lang w:eastAsia="en-IE"/>
    </w:rPr>
  </w:style>
  <w:style w:type="character" w:customStyle="1" w:styleId="Heading8Char">
    <w:name w:val="Heading 8 Char"/>
    <w:basedOn w:val="DefaultParagraphFont"/>
    <w:link w:val="Heading8"/>
    <w:rsid w:val="00EE0F87"/>
    <w:rPr>
      <w:rFonts w:ascii="Times New Roman" w:eastAsia="Times New Roman" w:hAnsi="Times New Roman" w:cs="Times New Roman"/>
      <w:b/>
      <w:color w:val="000000"/>
      <w:szCs w:val="20"/>
      <w:lang w:eastAsia="en-IE"/>
    </w:rPr>
  </w:style>
  <w:style w:type="character" w:customStyle="1" w:styleId="Heading9Char">
    <w:name w:val="Heading 9 Char"/>
    <w:basedOn w:val="DefaultParagraphFont"/>
    <w:link w:val="Heading9"/>
    <w:rsid w:val="00EE0F87"/>
    <w:rPr>
      <w:rFonts w:ascii="Times New Roman" w:eastAsia="Times New Roman" w:hAnsi="Times New Roman" w:cs="Times New Roman"/>
      <w:b/>
      <w:bCs/>
      <w:sz w:val="28"/>
      <w:szCs w:val="20"/>
      <w:lang w:eastAsia="en-IE"/>
    </w:rPr>
  </w:style>
  <w:style w:type="numbering" w:customStyle="1" w:styleId="NoList1">
    <w:name w:val="No List1"/>
    <w:next w:val="NoList"/>
    <w:uiPriority w:val="99"/>
    <w:semiHidden/>
    <w:unhideWhenUsed/>
    <w:rsid w:val="00EE0F87"/>
  </w:style>
  <w:style w:type="table" w:customStyle="1" w:styleId="TableGrid1">
    <w:name w:val="Table Grid1"/>
    <w:basedOn w:val="TableNormal"/>
    <w:next w:val="TableGrid"/>
    <w:rsid w:val="00EE0F8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E0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ase">
    <w:name w:val="Heading Base"/>
    <w:basedOn w:val="Normal"/>
    <w:next w:val="BodyText"/>
    <w:link w:val="HeadingBaseChar"/>
    <w:rsid w:val="00EE0F87"/>
    <w:pPr>
      <w:keepNext/>
      <w:keepLines/>
      <w:overflowPunct w:val="0"/>
      <w:autoSpaceDE w:val="0"/>
      <w:autoSpaceDN w:val="0"/>
      <w:adjustRightInd w:val="0"/>
      <w:spacing w:before="140" w:after="0" w:line="220" w:lineRule="atLeast"/>
      <w:ind w:left="1080"/>
      <w:textAlignment w:val="baseline"/>
    </w:pPr>
    <w:rPr>
      <w:rFonts w:ascii="Helvetica" w:eastAsia="Times New Roman" w:hAnsi="Helvetica" w:cs="Times New Roman"/>
      <w:szCs w:val="20"/>
      <w:lang w:eastAsia="en-IE"/>
    </w:rPr>
  </w:style>
  <w:style w:type="paragraph" w:styleId="BodyText">
    <w:name w:val="Body Text"/>
    <w:basedOn w:val="Normal"/>
    <w:link w:val="BodyTextChar"/>
    <w:rsid w:val="00EE0F87"/>
    <w:pPr>
      <w:overflowPunct w:val="0"/>
      <w:autoSpaceDE w:val="0"/>
      <w:autoSpaceDN w:val="0"/>
      <w:adjustRightInd w:val="0"/>
      <w:spacing w:after="240" w:line="240" w:lineRule="atLeast"/>
      <w:ind w:left="1080"/>
      <w:jc w:val="both"/>
      <w:textAlignment w:val="baseline"/>
    </w:pPr>
    <w:rPr>
      <w:rFonts w:ascii="Helvetica" w:eastAsia="Times New Roman" w:hAnsi="Helvetica" w:cs="Times New Roman"/>
      <w:spacing w:val="-5"/>
      <w:sz w:val="20"/>
      <w:szCs w:val="20"/>
      <w:lang w:eastAsia="en-IE"/>
    </w:rPr>
  </w:style>
  <w:style w:type="character" w:customStyle="1" w:styleId="BodyTextChar">
    <w:name w:val="Body Text Char"/>
    <w:basedOn w:val="DefaultParagraphFont"/>
    <w:link w:val="BodyText"/>
    <w:rsid w:val="00EE0F87"/>
    <w:rPr>
      <w:rFonts w:ascii="Helvetica" w:eastAsia="Times New Roman" w:hAnsi="Helvetica" w:cs="Times New Roman"/>
      <w:spacing w:val="-5"/>
      <w:sz w:val="20"/>
      <w:szCs w:val="20"/>
      <w:lang w:eastAsia="en-IE"/>
    </w:rPr>
  </w:style>
  <w:style w:type="paragraph" w:styleId="Footer">
    <w:name w:val="footer"/>
    <w:basedOn w:val="Normal"/>
    <w:link w:val="FooterChar"/>
    <w:uiPriority w:val="99"/>
    <w:rsid w:val="00EE0F87"/>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IE"/>
    </w:rPr>
  </w:style>
  <w:style w:type="character" w:customStyle="1" w:styleId="FooterChar">
    <w:name w:val="Footer Char"/>
    <w:basedOn w:val="DefaultParagraphFont"/>
    <w:link w:val="Footer"/>
    <w:uiPriority w:val="99"/>
    <w:rsid w:val="00EE0F87"/>
    <w:rPr>
      <w:rFonts w:ascii="Times New Roman" w:eastAsia="Times New Roman" w:hAnsi="Times New Roman" w:cs="Times New Roman"/>
      <w:sz w:val="20"/>
      <w:szCs w:val="20"/>
      <w:lang w:eastAsia="en-IE"/>
    </w:rPr>
  </w:style>
  <w:style w:type="paragraph" w:customStyle="1" w:styleId="Companyname">
    <w:name w:val="Company name"/>
    <w:basedOn w:val="Normal"/>
    <w:uiPriority w:val="99"/>
    <w:rsid w:val="00EE0F87"/>
    <w:pPr>
      <w:overflowPunct w:val="0"/>
      <w:autoSpaceDE w:val="0"/>
      <w:autoSpaceDN w:val="0"/>
      <w:adjustRightInd w:val="0"/>
      <w:spacing w:after="0" w:line="240" w:lineRule="auto"/>
      <w:textAlignment w:val="baseline"/>
    </w:pPr>
    <w:rPr>
      <w:rFonts w:ascii="Times" w:eastAsia="Times New Roman" w:hAnsi="Times" w:cs="Times New Roman"/>
      <w:sz w:val="36"/>
      <w:szCs w:val="20"/>
      <w:lang w:eastAsia="en-IE"/>
    </w:rPr>
  </w:style>
  <w:style w:type="paragraph" w:styleId="Header">
    <w:name w:val="header"/>
    <w:basedOn w:val="Normal"/>
    <w:link w:val="HeaderChar"/>
    <w:uiPriority w:val="99"/>
    <w:rsid w:val="00EE0F87"/>
    <w:pPr>
      <w:tabs>
        <w:tab w:val="center" w:pos="4819"/>
        <w:tab w:val="right" w:pos="9071"/>
      </w:tabs>
      <w:overflowPunct w:val="0"/>
      <w:autoSpaceDE w:val="0"/>
      <w:autoSpaceDN w:val="0"/>
      <w:adjustRightInd w:val="0"/>
      <w:spacing w:after="0" w:line="240" w:lineRule="auto"/>
      <w:textAlignment w:val="baseline"/>
    </w:pPr>
    <w:rPr>
      <w:rFonts w:ascii="Times" w:eastAsia="Times New Roman" w:hAnsi="Times" w:cs="Times New Roman"/>
      <w:sz w:val="24"/>
      <w:szCs w:val="20"/>
      <w:lang w:eastAsia="en-IE"/>
    </w:rPr>
  </w:style>
  <w:style w:type="character" w:customStyle="1" w:styleId="HeaderChar">
    <w:name w:val="Header Char"/>
    <w:basedOn w:val="DefaultParagraphFont"/>
    <w:link w:val="Header"/>
    <w:uiPriority w:val="99"/>
    <w:rsid w:val="00EE0F87"/>
    <w:rPr>
      <w:rFonts w:ascii="Times" w:eastAsia="Times New Roman" w:hAnsi="Times" w:cs="Times New Roman"/>
      <w:sz w:val="24"/>
      <w:szCs w:val="20"/>
      <w:lang w:eastAsia="en-IE"/>
    </w:rPr>
  </w:style>
  <w:style w:type="paragraph" w:customStyle="1" w:styleId="Pagename">
    <w:name w:val="Page name"/>
    <w:basedOn w:val="Normal"/>
    <w:rsid w:val="00EE0F87"/>
    <w:pPr>
      <w:overflowPunct w:val="0"/>
      <w:autoSpaceDE w:val="0"/>
      <w:autoSpaceDN w:val="0"/>
      <w:adjustRightInd w:val="0"/>
      <w:spacing w:after="0" w:line="240" w:lineRule="auto"/>
      <w:textAlignment w:val="baseline"/>
    </w:pPr>
    <w:rPr>
      <w:rFonts w:ascii="Times" w:eastAsia="Times New Roman" w:hAnsi="Times" w:cs="Times New Roman"/>
      <w:sz w:val="28"/>
      <w:szCs w:val="20"/>
      <w:lang w:eastAsia="en-IE"/>
    </w:rPr>
  </w:style>
  <w:style w:type="paragraph" w:customStyle="1" w:styleId="Accountstext">
    <w:name w:val="Accounts text"/>
    <w:basedOn w:val="Normal"/>
    <w:uiPriority w:val="99"/>
    <w:rsid w:val="00EE0F87"/>
    <w:pPr>
      <w:overflowPunct w:val="0"/>
      <w:autoSpaceDE w:val="0"/>
      <w:autoSpaceDN w:val="0"/>
      <w:adjustRightInd w:val="0"/>
      <w:spacing w:after="0" w:line="240" w:lineRule="auto"/>
      <w:textAlignment w:val="baseline"/>
    </w:pPr>
    <w:rPr>
      <w:rFonts w:ascii="Times" w:eastAsia="Times New Roman" w:hAnsi="Times" w:cs="Times New Roman"/>
      <w:szCs w:val="20"/>
      <w:lang w:eastAsia="en-IE"/>
    </w:rPr>
  </w:style>
  <w:style w:type="paragraph" w:customStyle="1" w:styleId="Contentspage">
    <w:name w:val="Contents page"/>
    <w:basedOn w:val="Normal"/>
    <w:rsid w:val="00EE0F87"/>
    <w:pPr>
      <w:tabs>
        <w:tab w:val="right" w:pos="7920"/>
      </w:tabs>
      <w:overflowPunct w:val="0"/>
      <w:autoSpaceDE w:val="0"/>
      <w:autoSpaceDN w:val="0"/>
      <w:adjustRightInd w:val="0"/>
      <w:spacing w:after="0" w:line="240" w:lineRule="auto"/>
      <w:textAlignment w:val="baseline"/>
    </w:pPr>
    <w:rPr>
      <w:rFonts w:ascii="Times" w:eastAsia="Times New Roman" w:hAnsi="Times" w:cs="Times New Roman"/>
      <w:szCs w:val="20"/>
      <w:lang w:eastAsia="en-IE"/>
    </w:rPr>
  </w:style>
  <w:style w:type="paragraph" w:customStyle="1" w:styleId="Picture">
    <w:name w:val="Picture"/>
    <w:basedOn w:val="Normal"/>
    <w:next w:val="Caption"/>
    <w:rsid w:val="00EE0F87"/>
    <w:pPr>
      <w:keepNext/>
      <w:widowControl w:val="0"/>
      <w:overflowPunct w:val="0"/>
      <w:autoSpaceDE w:val="0"/>
      <w:autoSpaceDN w:val="0"/>
      <w:adjustRightInd w:val="0"/>
      <w:spacing w:after="0" w:line="240" w:lineRule="auto"/>
      <w:textAlignment w:val="baseline"/>
    </w:pPr>
    <w:rPr>
      <w:rFonts w:ascii="Arial" w:eastAsia="Times New Roman" w:hAnsi="Arial" w:cs="Times New Roman"/>
      <w:spacing w:val="-5"/>
      <w:sz w:val="20"/>
      <w:szCs w:val="20"/>
      <w:lang w:val="en-US" w:eastAsia="en-IE"/>
    </w:rPr>
  </w:style>
  <w:style w:type="paragraph" w:styleId="Caption">
    <w:name w:val="caption"/>
    <w:basedOn w:val="Normal"/>
    <w:next w:val="Normal"/>
    <w:qFormat/>
    <w:rsid w:val="00EE0F87"/>
    <w:pPr>
      <w:overflowPunct w:val="0"/>
      <w:autoSpaceDE w:val="0"/>
      <w:autoSpaceDN w:val="0"/>
      <w:adjustRightInd w:val="0"/>
      <w:spacing w:before="120" w:after="120" w:line="240" w:lineRule="auto"/>
      <w:textAlignment w:val="baseline"/>
    </w:pPr>
    <w:rPr>
      <w:rFonts w:ascii="Times" w:eastAsia="Times New Roman" w:hAnsi="Times" w:cs="Times New Roman"/>
      <w:b/>
      <w:sz w:val="24"/>
      <w:szCs w:val="20"/>
      <w:lang w:eastAsia="en-IE"/>
    </w:rPr>
  </w:style>
  <w:style w:type="paragraph" w:styleId="BodyText2">
    <w:name w:val="Body Text 2"/>
    <w:basedOn w:val="BodyText"/>
    <w:link w:val="BodyText2Char"/>
    <w:rsid w:val="00EE0F87"/>
    <w:pPr>
      <w:ind w:left="1440"/>
    </w:pPr>
  </w:style>
  <w:style w:type="character" w:customStyle="1" w:styleId="BodyText2Char">
    <w:name w:val="Body Text 2 Char"/>
    <w:basedOn w:val="DefaultParagraphFont"/>
    <w:link w:val="BodyText2"/>
    <w:rsid w:val="00EE0F87"/>
    <w:rPr>
      <w:rFonts w:ascii="Helvetica" w:eastAsia="Times New Roman" w:hAnsi="Helvetica" w:cs="Times New Roman"/>
      <w:spacing w:val="-5"/>
      <w:sz w:val="20"/>
      <w:szCs w:val="20"/>
      <w:lang w:eastAsia="en-IE"/>
    </w:rPr>
  </w:style>
  <w:style w:type="paragraph" w:styleId="ListBullet">
    <w:name w:val="List Bullet"/>
    <w:basedOn w:val="List"/>
    <w:rsid w:val="00EE0F87"/>
    <w:pPr>
      <w:widowControl w:val="0"/>
      <w:spacing w:after="240" w:line="240" w:lineRule="atLeast"/>
      <w:ind w:left="1440" w:hanging="360"/>
      <w:jc w:val="both"/>
    </w:pPr>
    <w:rPr>
      <w:rFonts w:ascii="Arial" w:hAnsi="Arial"/>
      <w:spacing w:val="-5"/>
      <w:sz w:val="20"/>
      <w:lang w:val="en-US"/>
    </w:rPr>
  </w:style>
  <w:style w:type="paragraph" w:styleId="List">
    <w:name w:val="List"/>
    <w:basedOn w:val="Normal"/>
    <w:rsid w:val="00EE0F87"/>
    <w:pPr>
      <w:overflowPunct w:val="0"/>
      <w:autoSpaceDE w:val="0"/>
      <w:autoSpaceDN w:val="0"/>
      <w:adjustRightInd w:val="0"/>
      <w:spacing w:after="0" w:line="240" w:lineRule="auto"/>
      <w:ind w:left="283" w:hanging="283"/>
      <w:textAlignment w:val="baseline"/>
    </w:pPr>
    <w:rPr>
      <w:rFonts w:ascii="Times" w:eastAsia="Times New Roman" w:hAnsi="Times" w:cs="Times New Roman"/>
      <w:sz w:val="24"/>
      <w:szCs w:val="20"/>
      <w:lang w:eastAsia="en-IE"/>
    </w:rPr>
  </w:style>
  <w:style w:type="paragraph" w:styleId="Date">
    <w:name w:val="Date"/>
    <w:basedOn w:val="Normal"/>
    <w:link w:val="DateChar"/>
    <w:rsid w:val="00EE0F87"/>
    <w:pPr>
      <w:overflowPunct w:val="0"/>
      <w:autoSpaceDE w:val="0"/>
      <w:autoSpaceDN w:val="0"/>
      <w:adjustRightInd w:val="0"/>
      <w:spacing w:after="0" w:line="240" w:lineRule="auto"/>
      <w:textAlignment w:val="baseline"/>
    </w:pPr>
    <w:rPr>
      <w:rFonts w:ascii="Helvetica" w:eastAsia="Times New Roman" w:hAnsi="Helvetica" w:cs="Times New Roman"/>
      <w:spacing w:val="-5"/>
      <w:sz w:val="20"/>
      <w:szCs w:val="20"/>
      <w:lang w:eastAsia="en-IE"/>
    </w:rPr>
  </w:style>
  <w:style w:type="character" w:customStyle="1" w:styleId="DateChar">
    <w:name w:val="Date Char"/>
    <w:basedOn w:val="DefaultParagraphFont"/>
    <w:link w:val="Date"/>
    <w:rsid w:val="00EE0F87"/>
    <w:rPr>
      <w:rFonts w:ascii="Helvetica" w:eastAsia="Times New Roman" w:hAnsi="Helvetica" w:cs="Times New Roman"/>
      <w:spacing w:val="-5"/>
      <w:sz w:val="20"/>
      <w:szCs w:val="20"/>
      <w:lang w:eastAsia="en-IE"/>
    </w:rPr>
  </w:style>
  <w:style w:type="paragraph" w:styleId="Index2">
    <w:name w:val="index 2"/>
    <w:basedOn w:val="IndexBase"/>
    <w:semiHidden/>
    <w:rsid w:val="00EE0F87"/>
    <w:pPr>
      <w:spacing w:line="240" w:lineRule="auto"/>
      <w:ind w:left="720"/>
    </w:pPr>
  </w:style>
  <w:style w:type="paragraph" w:customStyle="1" w:styleId="IndexBase">
    <w:name w:val="Index Base"/>
    <w:basedOn w:val="Normal"/>
    <w:rsid w:val="00EE0F87"/>
    <w:pPr>
      <w:overflowPunct w:val="0"/>
      <w:autoSpaceDE w:val="0"/>
      <w:autoSpaceDN w:val="0"/>
      <w:adjustRightInd w:val="0"/>
      <w:spacing w:after="0" w:line="240" w:lineRule="atLeast"/>
      <w:ind w:left="360" w:hanging="360"/>
      <w:textAlignment w:val="baseline"/>
    </w:pPr>
    <w:rPr>
      <w:rFonts w:ascii="Helvetica" w:eastAsia="Times New Roman" w:hAnsi="Helvetica" w:cs="Times New Roman"/>
      <w:spacing w:val="-5"/>
      <w:sz w:val="18"/>
      <w:szCs w:val="20"/>
      <w:lang w:eastAsia="en-IE"/>
    </w:rPr>
  </w:style>
  <w:style w:type="paragraph" w:customStyle="1" w:styleId="Notes">
    <w:name w:val="Notes"/>
    <w:basedOn w:val="Normal"/>
    <w:rsid w:val="00EE0F87"/>
    <w:pPr>
      <w:tabs>
        <w:tab w:val="left" w:pos="900"/>
        <w:tab w:val="decimal" w:pos="4940"/>
        <w:tab w:val="decimal" w:pos="6380"/>
        <w:tab w:val="decimal" w:pos="7820"/>
        <w:tab w:val="decimal" w:pos="9260"/>
      </w:tabs>
      <w:overflowPunct w:val="0"/>
      <w:autoSpaceDE w:val="0"/>
      <w:autoSpaceDN w:val="0"/>
      <w:adjustRightInd w:val="0"/>
      <w:spacing w:after="0" w:line="240" w:lineRule="auto"/>
      <w:ind w:left="440" w:hanging="440"/>
      <w:textAlignment w:val="baseline"/>
    </w:pPr>
    <w:rPr>
      <w:rFonts w:ascii="Times" w:eastAsia="Times New Roman" w:hAnsi="Times" w:cs="Times New Roman"/>
      <w:szCs w:val="20"/>
      <w:lang w:eastAsia="en-IE"/>
    </w:rPr>
  </w:style>
  <w:style w:type="paragraph" w:customStyle="1" w:styleId="4columnnote">
    <w:name w:val="4 column + note"/>
    <w:basedOn w:val="Normal"/>
    <w:rsid w:val="00EE0F87"/>
    <w:pPr>
      <w:tabs>
        <w:tab w:val="left" w:pos="440"/>
        <w:tab w:val="right" w:pos="4680"/>
        <w:tab w:val="decimal" w:pos="5760"/>
        <w:tab w:val="decimal" w:pos="6840"/>
        <w:tab w:val="decimal" w:pos="8180"/>
        <w:tab w:val="decimal" w:pos="9260"/>
      </w:tabs>
      <w:overflowPunct w:val="0"/>
      <w:autoSpaceDE w:val="0"/>
      <w:autoSpaceDN w:val="0"/>
      <w:adjustRightInd w:val="0"/>
      <w:spacing w:after="0" w:line="240" w:lineRule="auto"/>
      <w:ind w:right="-180"/>
      <w:textAlignment w:val="baseline"/>
    </w:pPr>
    <w:rPr>
      <w:rFonts w:ascii="Times" w:eastAsia="Times New Roman" w:hAnsi="Times" w:cs="Times New Roman"/>
      <w:szCs w:val="20"/>
      <w:lang w:eastAsia="en-IE"/>
    </w:rPr>
  </w:style>
  <w:style w:type="paragraph" w:customStyle="1" w:styleId="2columnfigures">
    <w:name w:val="2 column figures"/>
    <w:basedOn w:val="Normal"/>
    <w:uiPriority w:val="99"/>
    <w:rsid w:val="00EE0F87"/>
    <w:pPr>
      <w:tabs>
        <w:tab w:val="left" w:pos="440"/>
        <w:tab w:val="right" w:pos="5760"/>
        <w:tab w:val="decimal" w:pos="7200"/>
        <w:tab w:val="decimal" w:pos="8640"/>
      </w:tabs>
      <w:overflowPunct w:val="0"/>
      <w:autoSpaceDE w:val="0"/>
      <w:autoSpaceDN w:val="0"/>
      <w:adjustRightInd w:val="0"/>
      <w:spacing w:after="0" w:line="240" w:lineRule="auto"/>
      <w:ind w:right="-360"/>
      <w:textAlignment w:val="baseline"/>
    </w:pPr>
    <w:rPr>
      <w:rFonts w:ascii="Times" w:eastAsia="Times New Roman" w:hAnsi="Times" w:cs="Times New Roman"/>
      <w:szCs w:val="20"/>
      <w:lang w:eastAsia="en-IE"/>
    </w:rPr>
  </w:style>
  <w:style w:type="character" w:styleId="PageNumber">
    <w:name w:val="page number"/>
    <w:basedOn w:val="DefaultParagraphFont"/>
    <w:rsid w:val="00EE0F87"/>
  </w:style>
  <w:style w:type="character" w:styleId="Hyperlink">
    <w:name w:val="Hyperlink"/>
    <w:rsid w:val="00EE0F87"/>
    <w:rPr>
      <w:color w:val="0000FF"/>
      <w:sz w:val="20"/>
      <w:u w:val="single"/>
    </w:rPr>
  </w:style>
  <w:style w:type="paragraph" w:customStyle="1" w:styleId="Signatures">
    <w:name w:val="Signatures"/>
    <w:basedOn w:val="Normal"/>
    <w:next w:val="Normal"/>
    <w:rsid w:val="00EE0F87"/>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eastAsia="en-IE"/>
    </w:rPr>
  </w:style>
  <w:style w:type="paragraph" w:styleId="BodyTextIndent2">
    <w:name w:val="Body Text Indent 2"/>
    <w:basedOn w:val="Normal"/>
    <w:link w:val="BodyTextIndent2Char"/>
    <w:rsid w:val="00EE0F87"/>
    <w:pPr>
      <w:widowControl w:val="0"/>
      <w:overflowPunct w:val="0"/>
      <w:autoSpaceDE w:val="0"/>
      <w:autoSpaceDN w:val="0"/>
      <w:adjustRightInd w:val="0"/>
      <w:spacing w:after="0" w:line="240" w:lineRule="auto"/>
      <w:ind w:left="567"/>
      <w:jc w:val="both"/>
      <w:textAlignment w:val="baseline"/>
    </w:pPr>
    <w:rPr>
      <w:rFonts w:ascii="Times New Roman" w:eastAsia="Times New Roman" w:hAnsi="Times New Roman" w:cs="Times New Roman"/>
      <w:szCs w:val="20"/>
      <w:lang w:val="en-US" w:eastAsia="en-IE"/>
    </w:rPr>
  </w:style>
  <w:style w:type="character" w:customStyle="1" w:styleId="BodyTextIndent2Char">
    <w:name w:val="Body Text Indent 2 Char"/>
    <w:basedOn w:val="DefaultParagraphFont"/>
    <w:link w:val="BodyTextIndent2"/>
    <w:rsid w:val="00EE0F87"/>
    <w:rPr>
      <w:rFonts w:ascii="Times New Roman" w:eastAsia="Times New Roman" w:hAnsi="Times New Roman" w:cs="Times New Roman"/>
      <w:szCs w:val="20"/>
      <w:lang w:val="en-US" w:eastAsia="en-IE"/>
    </w:rPr>
  </w:style>
  <w:style w:type="character" w:styleId="FollowedHyperlink">
    <w:name w:val="FollowedHyperlink"/>
    <w:rsid w:val="00EE0F87"/>
    <w:rPr>
      <w:color w:val="800080"/>
      <w:u w:val="single"/>
    </w:rPr>
  </w:style>
  <w:style w:type="paragraph" w:styleId="BodyText3">
    <w:name w:val="Body Text 3"/>
    <w:basedOn w:val="Normal"/>
    <w:link w:val="BodyText3Char"/>
    <w:rsid w:val="00EE0F87"/>
    <w:pPr>
      <w:overflowPunct w:val="0"/>
      <w:autoSpaceDE w:val="0"/>
      <w:autoSpaceDN w:val="0"/>
      <w:adjustRightInd w:val="0"/>
      <w:spacing w:after="0" w:line="240" w:lineRule="auto"/>
      <w:textAlignment w:val="baseline"/>
    </w:pPr>
    <w:rPr>
      <w:rFonts w:ascii="Times New Roman" w:eastAsia="Times New Roman" w:hAnsi="Times New Roman" w:cs="Times New Roman"/>
      <w:i/>
      <w:szCs w:val="20"/>
      <w:lang w:eastAsia="en-IE"/>
    </w:rPr>
  </w:style>
  <w:style w:type="character" w:customStyle="1" w:styleId="BodyText3Char">
    <w:name w:val="Body Text 3 Char"/>
    <w:basedOn w:val="DefaultParagraphFont"/>
    <w:link w:val="BodyText3"/>
    <w:rsid w:val="00EE0F87"/>
    <w:rPr>
      <w:rFonts w:ascii="Times New Roman" w:eastAsia="Times New Roman" w:hAnsi="Times New Roman" w:cs="Times New Roman"/>
      <w:i/>
      <w:szCs w:val="20"/>
      <w:lang w:eastAsia="en-IE"/>
    </w:rPr>
  </w:style>
  <w:style w:type="paragraph" w:styleId="BlockText">
    <w:name w:val="Block Text"/>
    <w:basedOn w:val="Normal"/>
    <w:rsid w:val="00EE0F87"/>
    <w:pPr>
      <w:numPr>
        <w:ilvl w:val="12"/>
      </w:numPr>
      <w:tabs>
        <w:tab w:val="left" w:pos="-720"/>
        <w:tab w:val="left" w:pos="0"/>
        <w:tab w:val="left" w:pos="720"/>
        <w:tab w:val="left" w:pos="1440"/>
      </w:tabs>
      <w:suppressAutoHyphens/>
      <w:overflowPunct w:val="0"/>
      <w:autoSpaceDE w:val="0"/>
      <w:autoSpaceDN w:val="0"/>
      <w:adjustRightInd w:val="0"/>
      <w:spacing w:after="0" w:line="240" w:lineRule="auto"/>
      <w:ind w:left="567" w:right="-45" w:hanging="567"/>
      <w:textAlignment w:val="baseline"/>
    </w:pPr>
    <w:rPr>
      <w:rFonts w:ascii="Times New Roman" w:eastAsia="Times New Roman" w:hAnsi="Times New Roman" w:cs="Times New Roman"/>
      <w:spacing w:val="-2"/>
      <w:szCs w:val="20"/>
      <w:lang w:eastAsia="en-IE"/>
    </w:rPr>
  </w:style>
  <w:style w:type="paragraph" w:styleId="BodyTextIndent">
    <w:name w:val="Body Text Indent"/>
    <w:basedOn w:val="Normal"/>
    <w:link w:val="BodyTextIndentChar"/>
    <w:rsid w:val="00EE0F87"/>
    <w:pPr>
      <w:overflowPunct w:val="0"/>
      <w:autoSpaceDE w:val="0"/>
      <w:autoSpaceDN w:val="0"/>
      <w:adjustRightInd w:val="0"/>
      <w:spacing w:after="0" w:line="240" w:lineRule="auto"/>
      <w:ind w:left="426"/>
      <w:jc w:val="both"/>
      <w:textAlignment w:val="baseline"/>
    </w:pPr>
    <w:rPr>
      <w:rFonts w:ascii="Times New Roman" w:eastAsia="Times New Roman" w:hAnsi="Times New Roman" w:cs="Times New Roman"/>
      <w:szCs w:val="20"/>
      <w:lang w:eastAsia="en-IE"/>
    </w:rPr>
  </w:style>
  <w:style w:type="character" w:customStyle="1" w:styleId="BodyTextIndentChar">
    <w:name w:val="Body Text Indent Char"/>
    <w:basedOn w:val="DefaultParagraphFont"/>
    <w:link w:val="BodyTextIndent"/>
    <w:rsid w:val="00EE0F87"/>
    <w:rPr>
      <w:rFonts w:ascii="Times New Roman" w:eastAsia="Times New Roman" w:hAnsi="Times New Roman" w:cs="Times New Roman"/>
      <w:szCs w:val="20"/>
      <w:lang w:eastAsia="en-IE"/>
    </w:rPr>
  </w:style>
  <w:style w:type="character" w:styleId="CommentReference">
    <w:name w:val="annotation reference"/>
    <w:semiHidden/>
    <w:rsid w:val="00EE0F87"/>
    <w:rPr>
      <w:sz w:val="16"/>
      <w:szCs w:val="16"/>
    </w:rPr>
  </w:style>
  <w:style w:type="paragraph" w:styleId="CommentText">
    <w:name w:val="annotation text"/>
    <w:basedOn w:val="Normal"/>
    <w:link w:val="CommentTextChar"/>
    <w:semiHidden/>
    <w:rsid w:val="00EE0F8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IE"/>
    </w:rPr>
  </w:style>
  <w:style w:type="character" w:customStyle="1" w:styleId="CommentTextChar">
    <w:name w:val="Comment Text Char"/>
    <w:basedOn w:val="DefaultParagraphFont"/>
    <w:link w:val="CommentText"/>
    <w:semiHidden/>
    <w:rsid w:val="00EE0F87"/>
    <w:rPr>
      <w:rFonts w:ascii="Times New Roman" w:eastAsia="Times New Roman" w:hAnsi="Times New Roman" w:cs="Times New Roman"/>
      <w:sz w:val="20"/>
      <w:szCs w:val="20"/>
      <w:lang w:eastAsia="en-IE"/>
    </w:rPr>
  </w:style>
  <w:style w:type="character" w:styleId="HTMLKeyboard">
    <w:name w:val="HTML Keyboard"/>
    <w:rsid w:val="00EE0F87"/>
    <w:rPr>
      <w:rFonts w:ascii="Courier New" w:eastAsia="Times New Roman" w:hAnsi="Courier New" w:cs="Courier New" w:hint="default"/>
      <w:color w:val="000000"/>
      <w:sz w:val="20"/>
      <w:szCs w:val="20"/>
    </w:rPr>
  </w:style>
  <w:style w:type="paragraph" w:styleId="DocumentMap">
    <w:name w:val="Document Map"/>
    <w:basedOn w:val="Normal"/>
    <w:link w:val="DocumentMapChar"/>
    <w:semiHidden/>
    <w:rsid w:val="00EE0F8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en-IE"/>
    </w:rPr>
  </w:style>
  <w:style w:type="character" w:customStyle="1" w:styleId="DocumentMapChar">
    <w:name w:val="Document Map Char"/>
    <w:basedOn w:val="DefaultParagraphFont"/>
    <w:link w:val="DocumentMap"/>
    <w:semiHidden/>
    <w:rsid w:val="00EE0F87"/>
    <w:rPr>
      <w:rFonts w:ascii="Tahoma" w:eastAsia="Times New Roman" w:hAnsi="Tahoma" w:cs="Tahoma"/>
      <w:sz w:val="20"/>
      <w:szCs w:val="20"/>
      <w:shd w:val="clear" w:color="auto" w:fill="000080"/>
      <w:lang w:eastAsia="en-IE"/>
    </w:rPr>
  </w:style>
  <w:style w:type="paragraph" w:customStyle="1" w:styleId="Bullet">
    <w:name w:val="Bullet"/>
    <w:basedOn w:val="Normal"/>
    <w:rsid w:val="00EE0F87"/>
    <w:pPr>
      <w:numPr>
        <w:numId w:val="3"/>
      </w:numPr>
      <w:tabs>
        <w:tab w:val="left" w:pos="284"/>
      </w:tabs>
      <w:spacing w:after="130" w:line="240" w:lineRule="auto"/>
      <w:jc w:val="both"/>
    </w:pPr>
    <w:rPr>
      <w:rFonts w:ascii="Times New Roman" w:eastAsia="Times New Roman" w:hAnsi="Times New Roman" w:cs="Times New Roman"/>
      <w:szCs w:val="24"/>
    </w:rPr>
  </w:style>
  <w:style w:type="paragraph" w:customStyle="1" w:styleId="Text">
    <w:name w:val="Text"/>
    <w:aliases w:val="t1"/>
    <w:basedOn w:val="Normal"/>
    <w:rsid w:val="00EE0F87"/>
    <w:pPr>
      <w:overflowPunct w:val="0"/>
      <w:autoSpaceDE w:val="0"/>
      <w:autoSpaceDN w:val="0"/>
      <w:adjustRightInd w:val="0"/>
      <w:spacing w:after="260" w:line="240" w:lineRule="auto"/>
      <w:jc w:val="both"/>
      <w:textAlignment w:val="baseline"/>
    </w:pPr>
    <w:rPr>
      <w:rFonts w:ascii="Times New Roman" w:eastAsia="Times New Roman" w:hAnsi="Times New Roman" w:cs="Times New Roman"/>
      <w:szCs w:val="20"/>
    </w:rPr>
  </w:style>
  <w:style w:type="paragraph" w:styleId="BalloonText">
    <w:name w:val="Balloon Text"/>
    <w:basedOn w:val="Normal"/>
    <w:link w:val="BalloonTextChar"/>
    <w:semiHidden/>
    <w:rsid w:val="00EE0F87"/>
    <w:pPr>
      <w:overflowPunct w:val="0"/>
      <w:autoSpaceDE w:val="0"/>
      <w:autoSpaceDN w:val="0"/>
      <w:adjustRightInd w:val="0"/>
      <w:spacing w:after="0" w:line="240" w:lineRule="auto"/>
      <w:textAlignment w:val="baseline"/>
    </w:pPr>
    <w:rPr>
      <w:rFonts w:ascii="Tahoma" w:eastAsia="Times New Roman" w:hAnsi="Tahoma" w:cs="Tahoma"/>
      <w:sz w:val="16"/>
      <w:szCs w:val="16"/>
      <w:lang w:eastAsia="en-IE"/>
    </w:rPr>
  </w:style>
  <w:style w:type="character" w:customStyle="1" w:styleId="BalloonTextChar">
    <w:name w:val="Balloon Text Char"/>
    <w:basedOn w:val="DefaultParagraphFont"/>
    <w:link w:val="BalloonText"/>
    <w:semiHidden/>
    <w:rsid w:val="00EE0F87"/>
    <w:rPr>
      <w:rFonts w:ascii="Tahoma" w:eastAsia="Times New Roman" w:hAnsi="Tahoma" w:cs="Tahoma"/>
      <w:sz w:val="16"/>
      <w:szCs w:val="16"/>
      <w:lang w:eastAsia="en-IE"/>
    </w:rPr>
  </w:style>
  <w:style w:type="paragraph" w:customStyle="1" w:styleId="ACText">
    <w:name w:val="AC Text"/>
    <w:basedOn w:val="Normal"/>
    <w:rsid w:val="00EE0F87"/>
    <w:pPr>
      <w:tabs>
        <w:tab w:val="left" w:pos="0"/>
      </w:tabs>
      <w:suppressAutoHyphens/>
      <w:overflowPunct w:val="0"/>
      <w:autoSpaceDE w:val="0"/>
      <w:autoSpaceDN w:val="0"/>
      <w:adjustRightInd w:val="0"/>
      <w:spacing w:before="130" w:after="0" w:line="240" w:lineRule="auto"/>
      <w:jc w:val="both"/>
      <w:textAlignment w:val="baseline"/>
    </w:pPr>
    <w:rPr>
      <w:rFonts w:ascii="Times New Roman" w:eastAsia="Times New Roman" w:hAnsi="Times New Roman" w:cs="Times New Roman"/>
      <w:sz w:val="20"/>
      <w:szCs w:val="20"/>
      <w:lang w:eastAsia="en-IE"/>
    </w:rPr>
  </w:style>
  <w:style w:type="character" w:customStyle="1" w:styleId="HeadingBaseChar">
    <w:name w:val="Heading Base Char"/>
    <w:link w:val="HeadingBase"/>
    <w:rsid w:val="00EE0F87"/>
    <w:rPr>
      <w:rFonts w:ascii="Helvetica" w:eastAsia="Times New Roman" w:hAnsi="Helvetica" w:cs="Times New Roman"/>
      <w:szCs w:val="20"/>
      <w:lang w:eastAsia="en-IE"/>
    </w:rPr>
  </w:style>
  <w:style w:type="paragraph" w:customStyle="1" w:styleId="MAJOR">
    <w:name w:val="MAJOR"/>
    <w:rsid w:val="00EE0F87"/>
    <w:pPr>
      <w:widowControl w:val="0"/>
      <w:tabs>
        <w:tab w:val="left" w:pos="-720"/>
      </w:tabs>
      <w:suppressAutoHyphens/>
      <w:spacing w:after="0" w:line="240" w:lineRule="auto"/>
    </w:pPr>
    <w:rPr>
      <w:rFonts w:ascii="Times New Roman" w:eastAsia="Times New Roman" w:hAnsi="Times New Roman" w:cs="Times New Roman"/>
      <w:b/>
      <w:snapToGrid w:val="0"/>
      <w:sz w:val="27"/>
      <w:szCs w:val="20"/>
      <w:lang w:val="en-US"/>
    </w:rPr>
  </w:style>
  <w:style w:type="character" w:customStyle="1" w:styleId="STANDARD1">
    <w:name w:val="STANDARD 1"/>
    <w:basedOn w:val="DefaultParagraphFont"/>
    <w:rsid w:val="00EE0F87"/>
  </w:style>
  <w:style w:type="paragraph" w:customStyle="1" w:styleId="CharChar">
    <w:name w:val="字元 字元 Char Char 字元 字元"/>
    <w:basedOn w:val="Normal"/>
    <w:rsid w:val="00EE0F87"/>
    <w:pPr>
      <w:spacing w:line="240" w:lineRule="exact"/>
    </w:pPr>
    <w:rPr>
      <w:rFonts w:ascii="Tahoma" w:eastAsia="Batang" w:hAnsi="Tahoma" w:cs="Times New Roman"/>
      <w:sz w:val="20"/>
      <w:szCs w:val="20"/>
    </w:rPr>
  </w:style>
  <w:style w:type="character" w:styleId="FootnoteReference">
    <w:name w:val="footnote reference"/>
    <w:semiHidden/>
    <w:rsid w:val="00EE0F87"/>
    <w:rPr>
      <w:vertAlign w:val="superscript"/>
    </w:rPr>
  </w:style>
  <w:style w:type="character" w:customStyle="1" w:styleId="nf1">
    <w:name w:val="nf1"/>
    <w:rsid w:val="00EE0F87"/>
    <w:rPr>
      <w:rFonts w:ascii="Courier New" w:hAnsi="Courier New" w:hint="default"/>
      <w:sz w:val="18"/>
      <w:szCs w:val="18"/>
    </w:rPr>
  </w:style>
  <w:style w:type="paragraph" w:styleId="HTMLPreformatted">
    <w:name w:val="HTML Preformatted"/>
    <w:basedOn w:val="Normal"/>
    <w:link w:val="HTMLPreformattedChar"/>
    <w:rsid w:val="00EE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US" w:eastAsia="ja-JP"/>
    </w:rPr>
  </w:style>
  <w:style w:type="character" w:customStyle="1" w:styleId="HTMLPreformattedChar">
    <w:name w:val="HTML Preformatted Char"/>
    <w:basedOn w:val="DefaultParagraphFont"/>
    <w:link w:val="HTMLPreformatted"/>
    <w:rsid w:val="00EE0F87"/>
    <w:rPr>
      <w:rFonts w:ascii="Courier New" w:eastAsia="Courier New" w:hAnsi="Courier New" w:cs="Times New Roman"/>
      <w:sz w:val="20"/>
      <w:szCs w:val="20"/>
      <w:lang w:val="en-US" w:eastAsia="ja-JP"/>
    </w:rPr>
  </w:style>
  <w:style w:type="paragraph" w:styleId="NormalWeb">
    <w:name w:val="Normal (Web)"/>
    <w:basedOn w:val="Normal"/>
    <w:uiPriority w:val="99"/>
    <w:rsid w:val="00EE0F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E0F87"/>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en-IE"/>
    </w:rPr>
  </w:style>
  <w:style w:type="paragraph" w:customStyle="1" w:styleId="BasicParagraph">
    <w:name w:val="[Basic Paragraph]"/>
    <w:basedOn w:val="Normal"/>
    <w:uiPriority w:val="99"/>
    <w:rsid w:val="00EE0F87"/>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 w:type="paragraph" w:customStyle="1" w:styleId="af">
    <w:name w:val="af"/>
    <w:basedOn w:val="Normal"/>
    <w:rsid w:val="00EE0F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g">
    <w:name w:val="ag"/>
    <w:basedOn w:val="DefaultParagraphFont"/>
    <w:rsid w:val="00EE0F87"/>
  </w:style>
  <w:style w:type="paragraph" w:customStyle="1" w:styleId="Default">
    <w:name w:val="Default"/>
    <w:rsid w:val="00EE0F87"/>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Emphasis">
    <w:name w:val="Emphasis"/>
    <w:uiPriority w:val="20"/>
    <w:qFormat/>
    <w:rsid w:val="00EE0F87"/>
    <w:rPr>
      <w:i/>
      <w:iCs/>
    </w:rPr>
  </w:style>
  <w:style w:type="paragraph" w:styleId="Revision">
    <w:name w:val="Revision"/>
    <w:hidden/>
    <w:uiPriority w:val="99"/>
    <w:semiHidden/>
    <w:rsid w:val="00EE0F87"/>
    <w:pPr>
      <w:spacing w:after="0" w:line="240" w:lineRule="auto"/>
    </w:pPr>
    <w:rPr>
      <w:rFonts w:ascii="Times New Roman" w:eastAsia="Times New Roman" w:hAnsi="Times New Roman" w:cs="Times New Roman"/>
      <w:sz w:val="20"/>
      <w:szCs w:val="20"/>
      <w:lang w:eastAsia="en-IE"/>
    </w:rPr>
  </w:style>
  <w:style w:type="paragraph" w:customStyle="1" w:styleId="TextStd">
    <w:name w:val="TextStd"/>
    <w:uiPriority w:val="99"/>
    <w:rsid w:val="00EE0F87"/>
    <w:pPr>
      <w:widowControl w:val="0"/>
      <w:tabs>
        <w:tab w:val="left" w:pos="576"/>
        <w:tab w:val="left" w:pos="1152"/>
      </w:tabs>
      <w:autoSpaceDE w:val="0"/>
      <w:autoSpaceDN w:val="0"/>
      <w:adjustRightInd w:val="0"/>
      <w:spacing w:after="0" w:line="240" w:lineRule="auto"/>
    </w:pPr>
    <w:rPr>
      <w:rFonts w:ascii="Garamond" w:eastAsia="Times New Roman" w:hAnsi="Garamond" w:cs="Garamond"/>
      <w:color w:val="000000"/>
      <w:lang w:val="en-IE" w:eastAsia="en-IE"/>
    </w:rPr>
  </w:style>
  <w:style w:type="paragraph" w:customStyle="1" w:styleId="TextStdInput">
    <w:name w:val="TextStdInput"/>
    <w:uiPriority w:val="99"/>
    <w:rsid w:val="00EE0F87"/>
    <w:pPr>
      <w:widowControl w:val="0"/>
      <w:tabs>
        <w:tab w:val="left" w:pos="576"/>
        <w:tab w:val="left" w:pos="1152"/>
      </w:tabs>
      <w:autoSpaceDE w:val="0"/>
      <w:autoSpaceDN w:val="0"/>
      <w:adjustRightInd w:val="0"/>
      <w:spacing w:after="0" w:line="240" w:lineRule="auto"/>
    </w:pPr>
    <w:rPr>
      <w:rFonts w:ascii="Garamond" w:eastAsia="Times New Roman" w:hAnsi="Garamond" w:cs="Garamond"/>
      <w:color w:val="000000"/>
      <w:lang w:val="en-IE" w:eastAsia="en-IE"/>
    </w:rPr>
  </w:style>
  <w:style w:type="character" w:customStyle="1" w:styleId="fontstyle01">
    <w:name w:val="fontstyle01"/>
    <w:basedOn w:val="DefaultParagraphFont"/>
    <w:rsid w:val="00EE0F87"/>
    <w:rPr>
      <w:rFonts w:ascii="Garamond" w:hAnsi="Garamond" w:hint="default"/>
      <w:b w:val="0"/>
      <w:bCs w:val="0"/>
      <w:i w:val="0"/>
      <w:iCs w:val="0"/>
      <w:color w:val="000000"/>
      <w:sz w:val="22"/>
      <w:szCs w:val="22"/>
    </w:rPr>
  </w:style>
  <w:style w:type="paragraph" w:styleId="CommentSubject">
    <w:name w:val="annotation subject"/>
    <w:basedOn w:val="CommentText"/>
    <w:next w:val="CommentText"/>
    <w:link w:val="CommentSubjectChar"/>
    <w:semiHidden/>
    <w:unhideWhenUsed/>
    <w:rsid w:val="00EE0F87"/>
    <w:rPr>
      <w:b/>
      <w:bCs/>
    </w:rPr>
  </w:style>
  <w:style w:type="character" w:customStyle="1" w:styleId="CommentSubjectChar">
    <w:name w:val="Comment Subject Char"/>
    <w:basedOn w:val="CommentTextChar"/>
    <w:link w:val="CommentSubject"/>
    <w:semiHidden/>
    <w:rsid w:val="00EE0F87"/>
    <w:rPr>
      <w:rFonts w:ascii="Times New Roman" w:eastAsia="Times New Roman" w:hAnsi="Times New Roman" w:cs="Times New Roman"/>
      <w:b/>
      <w:bCs/>
      <w:sz w:val="20"/>
      <w:szCs w:val="20"/>
      <w:lang w:eastAsia="en-IE"/>
    </w:rPr>
  </w:style>
  <w:style w:type="character" w:customStyle="1" w:styleId="apple-converted-space">
    <w:name w:val="apple-converted-space"/>
    <w:basedOn w:val="DefaultParagraphFont"/>
    <w:rsid w:val="00EE0F87"/>
  </w:style>
  <w:style w:type="character" w:customStyle="1" w:styleId="ui-provider">
    <w:name w:val="ui-provider"/>
    <w:basedOn w:val="DefaultParagraphFont"/>
    <w:rsid w:val="00EE0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2123</Words>
  <Characters>12107</Characters>
  <Application>Microsoft Office Word</Application>
  <DocSecurity>4</DocSecurity>
  <Lines>100</Lines>
  <Paragraphs>28</Paragraphs>
  <ScaleCrop>false</ScaleCrop>
  <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Murphy</dc:creator>
  <cp:keywords/>
  <dc:description/>
  <cp:lastModifiedBy>Gerard Murphy</cp:lastModifiedBy>
  <cp:revision>2</cp:revision>
  <dcterms:created xsi:type="dcterms:W3CDTF">2023-03-30T21:44:00Z</dcterms:created>
  <dcterms:modified xsi:type="dcterms:W3CDTF">2023-03-30T21:44:00Z</dcterms:modified>
</cp:coreProperties>
</file>